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424C" w14:textId="64F0DD89" w:rsidR="00330FAD" w:rsidRPr="00230105" w:rsidRDefault="00330FAD" w:rsidP="00230105">
      <w:pPr>
        <w:jc w:val="center"/>
        <w:rPr>
          <w:rFonts w:ascii="Arial" w:hAnsi="Arial" w:cs="Arial"/>
          <w:b/>
          <w:bCs/>
          <w:color w:val="00B050"/>
          <w:sz w:val="30"/>
          <w:szCs w:val="30"/>
        </w:rPr>
      </w:pPr>
      <w:r w:rsidRPr="00230105">
        <w:rPr>
          <w:rFonts w:ascii="Arial" w:hAnsi="Arial" w:cs="Arial"/>
          <w:b/>
          <w:bCs/>
          <w:color w:val="00B050"/>
          <w:sz w:val="30"/>
          <w:szCs w:val="30"/>
        </w:rPr>
        <w:t>Kierunkowe wytyczne do priorytetów</w:t>
      </w:r>
      <w:r w:rsidR="00007806">
        <w:rPr>
          <w:rFonts w:ascii="Arial" w:hAnsi="Arial" w:cs="Arial"/>
          <w:b/>
          <w:bCs/>
          <w:color w:val="00B050"/>
          <w:sz w:val="30"/>
          <w:szCs w:val="30"/>
        </w:rPr>
        <w:t xml:space="preserve"> KFS na rok 2026</w:t>
      </w:r>
    </w:p>
    <w:p w14:paraId="32C2B324" w14:textId="77777777" w:rsidR="00230105" w:rsidRPr="00230105" w:rsidRDefault="00230105" w:rsidP="00230105">
      <w:pPr>
        <w:jc w:val="center"/>
        <w:rPr>
          <w:rFonts w:ascii="Arial" w:hAnsi="Arial" w:cs="Arial"/>
          <w:b/>
          <w:bCs/>
          <w:color w:val="0070C0"/>
          <w:sz w:val="30"/>
          <w:szCs w:val="30"/>
        </w:rPr>
      </w:pPr>
    </w:p>
    <w:p w14:paraId="730AC022" w14:textId="19F62FB4" w:rsidR="00D95F09" w:rsidRPr="00E52281" w:rsidRDefault="00230105" w:rsidP="00230105">
      <w:pPr>
        <w:pStyle w:val="Akapitzlist"/>
        <w:numPr>
          <w:ilvl w:val="0"/>
          <w:numId w:val="9"/>
        </w:numPr>
        <w:ind w:left="142" w:hanging="142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Priorytety </w:t>
      </w:r>
      <w:r w:rsidR="00D95F09" w:rsidRPr="00E52281">
        <w:rPr>
          <w:rFonts w:ascii="Arial" w:hAnsi="Arial" w:cs="Arial"/>
          <w:b/>
          <w:bCs/>
          <w:color w:val="0070C0"/>
          <w:sz w:val="20"/>
          <w:szCs w:val="20"/>
        </w:rPr>
        <w:t>Ministra do spraw pracy wydatkowania środków KFS na rok 2026</w:t>
      </w:r>
    </w:p>
    <w:p w14:paraId="11565F72" w14:textId="77777777" w:rsidR="003063B9" w:rsidRPr="00E52281" w:rsidRDefault="003063B9" w:rsidP="00E52281">
      <w:p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4CDA3256" w14:textId="77777777" w:rsidR="008B72FD" w:rsidRPr="00D9615F" w:rsidRDefault="008B72FD" w:rsidP="00E52281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2281">
        <w:rPr>
          <w:rFonts w:ascii="Arial" w:hAnsi="Arial" w:cs="Arial"/>
          <w:b/>
          <w:bCs/>
          <w:sz w:val="20"/>
          <w:szCs w:val="20"/>
        </w:rPr>
        <w:t xml:space="preserve">Poprawa zarządzania i komunikacji w firmie w oparciu o zasady przeciwdziałania dyskryminacji i mobbingowi, rozwoju dialogu społecznego, partycypacji pracowniczej </w:t>
      </w:r>
      <w:r w:rsidRPr="00E52281">
        <w:rPr>
          <w:rFonts w:ascii="Arial" w:hAnsi="Arial" w:cs="Arial"/>
          <w:b/>
          <w:bCs/>
          <w:sz w:val="20"/>
          <w:szCs w:val="20"/>
        </w:rPr>
        <w:br/>
        <w:t>i wspierania integracji w miejscu pracy.</w:t>
      </w:r>
    </w:p>
    <w:p w14:paraId="2FF702E2" w14:textId="77777777" w:rsidR="00D9615F" w:rsidRPr="00E52281" w:rsidRDefault="00D9615F" w:rsidP="00D9615F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69C9E7D4" w14:textId="77777777" w:rsidR="008B72FD" w:rsidRPr="00E52281" w:rsidRDefault="008B72FD" w:rsidP="00E5228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E52281">
        <w:rPr>
          <w:rFonts w:ascii="Arial" w:hAnsi="Arial" w:cs="Arial"/>
          <w:sz w:val="20"/>
          <w:szCs w:val="20"/>
        </w:rPr>
        <w:t>Wnioskowane szkolenia powinny zawierać tematykę, w ramach której pracodawcy i pracownicy zostaną wyposażeni w wiedzę i umiejętności m.in.:</w:t>
      </w:r>
    </w:p>
    <w:p w14:paraId="01CFA103" w14:textId="77777777" w:rsidR="008B72FD" w:rsidRPr="00E52281" w:rsidRDefault="008B72FD" w:rsidP="00E52281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2281">
        <w:rPr>
          <w:rFonts w:ascii="Arial" w:hAnsi="Arial" w:cs="Arial"/>
          <w:sz w:val="20"/>
          <w:szCs w:val="20"/>
        </w:rPr>
        <w:t>do rozpoznawania, rozumienia i przeciwdziałania mobbingowi w miejscu pracy, co zwiększy ich uważność na sposób komunikacji i budowania relacji w ich zespołach,</w:t>
      </w:r>
    </w:p>
    <w:p w14:paraId="1560A046" w14:textId="77777777" w:rsidR="008B72FD" w:rsidRPr="00E52281" w:rsidRDefault="008B72FD" w:rsidP="00E52281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2281">
        <w:rPr>
          <w:rFonts w:ascii="Arial" w:hAnsi="Arial" w:cs="Arial"/>
          <w:sz w:val="20"/>
          <w:szCs w:val="20"/>
        </w:rPr>
        <w:t>dotyczące różnych formy mobbingu, jak zrozumieć jego wpływ na zespół oraz jak skutecznie reagować i zapobiegać sytuacjom o charakterze mobbingu w przyszłości,</w:t>
      </w:r>
    </w:p>
    <w:p w14:paraId="36F1490B" w14:textId="77777777" w:rsidR="008B72FD" w:rsidRPr="00E52281" w:rsidRDefault="008B72FD" w:rsidP="00E52281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2281">
        <w:rPr>
          <w:rFonts w:ascii="Arial" w:hAnsi="Arial" w:cs="Arial"/>
          <w:sz w:val="20"/>
          <w:szCs w:val="20"/>
        </w:rPr>
        <w:t xml:space="preserve">rozpoznawania/uważności (szczególnie menedżerowie/pracodawcy) na zachowania i relacje </w:t>
      </w:r>
      <w:r w:rsidRPr="00E52281">
        <w:rPr>
          <w:rFonts w:ascii="Arial" w:hAnsi="Arial" w:cs="Arial"/>
          <w:sz w:val="20"/>
          <w:szCs w:val="20"/>
        </w:rPr>
        <w:br/>
        <w:t>w zespołach,</w:t>
      </w:r>
    </w:p>
    <w:p w14:paraId="618BEA89" w14:textId="77777777" w:rsidR="008B72FD" w:rsidRPr="00E52281" w:rsidRDefault="008B72FD" w:rsidP="00E52281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2281">
        <w:rPr>
          <w:rFonts w:ascii="Arial" w:hAnsi="Arial" w:cs="Arial"/>
          <w:sz w:val="20"/>
          <w:szCs w:val="20"/>
        </w:rPr>
        <w:t>do promowania bezpiecznego i wspierającego środowiska pracy,</w:t>
      </w:r>
    </w:p>
    <w:p w14:paraId="4FB164CF" w14:textId="77777777" w:rsidR="008B72FD" w:rsidRPr="00E52281" w:rsidRDefault="008B72FD" w:rsidP="00E52281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2281">
        <w:rPr>
          <w:rFonts w:ascii="Arial" w:hAnsi="Arial" w:cs="Arial"/>
          <w:sz w:val="20"/>
          <w:szCs w:val="20"/>
        </w:rPr>
        <w:t>na temat skutków społecznych i prawnych mobbingu lub dyskryminacji,</w:t>
      </w:r>
    </w:p>
    <w:p w14:paraId="63752746" w14:textId="77777777" w:rsidR="008B72FD" w:rsidRPr="00E52281" w:rsidRDefault="008B72FD" w:rsidP="00E52281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2281">
        <w:rPr>
          <w:rFonts w:ascii="Arial" w:hAnsi="Arial" w:cs="Arial"/>
          <w:sz w:val="20"/>
          <w:szCs w:val="20"/>
        </w:rPr>
        <w:t>dotyczące wdrażania procedur przeciwdziałania i reagowania na przypadki nieprawidłowości.</w:t>
      </w:r>
    </w:p>
    <w:p w14:paraId="20708C9C" w14:textId="77777777" w:rsidR="008B72FD" w:rsidRPr="00E52281" w:rsidRDefault="008B72FD" w:rsidP="00E52281">
      <w:pPr>
        <w:jc w:val="both"/>
        <w:rPr>
          <w:rFonts w:ascii="Arial" w:hAnsi="Arial" w:cs="Arial"/>
          <w:sz w:val="20"/>
          <w:szCs w:val="20"/>
        </w:rPr>
      </w:pPr>
    </w:p>
    <w:p w14:paraId="18CF10E5" w14:textId="77777777" w:rsidR="008B72FD" w:rsidRPr="00E52281" w:rsidRDefault="008B72FD" w:rsidP="00E52281">
      <w:pPr>
        <w:jc w:val="both"/>
        <w:rPr>
          <w:rFonts w:ascii="Arial" w:hAnsi="Arial" w:cs="Arial"/>
          <w:sz w:val="20"/>
          <w:szCs w:val="20"/>
        </w:rPr>
      </w:pPr>
      <w:r w:rsidRPr="00E52281">
        <w:rPr>
          <w:rFonts w:ascii="Arial" w:hAnsi="Arial" w:cs="Arial"/>
          <w:sz w:val="20"/>
          <w:szCs w:val="20"/>
        </w:rPr>
        <w:t>Szkolenia tego typu mają na celu wzmocnienie umiejętności zarządzania, poprawę komunikacji wewnętrznej oraz stworzenie środowiska opartego na równości, integracji i zaangażowaniu pracowników. Realizacja tych celów wpływa na budowanie kultury organizacyjnej, która sprzyja efektywności i zadowoleniu zespołu.</w:t>
      </w:r>
    </w:p>
    <w:p w14:paraId="5AC7DAF6" w14:textId="77777777" w:rsidR="008B72FD" w:rsidRPr="00E52281" w:rsidRDefault="008B72FD" w:rsidP="00E52281">
      <w:pPr>
        <w:jc w:val="both"/>
        <w:rPr>
          <w:rFonts w:ascii="Arial" w:hAnsi="Arial" w:cs="Arial"/>
          <w:sz w:val="20"/>
          <w:szCs w:val="20"/>
        </w:rPr>
      </w:pPr>
    </w:p>
    <w:p w14:paraId="4027EAEE" w14:textId="77777777" w:rsidR="008B72FD" w:rsidRPr="00E52281" w:rsidRDefault="008B72FD" w:rsidP="00E52281">
      <w:pPr>
        <w:jc w:val="both"/>
        <w:rPr>
          <w:rFonts w:ascii="Arial" w:hAnsi="Arial" w:cs="Arial"/>
          <w:sz w:val="20"/>
          <w:szCs w:val="20"/>
        </w:rPr>
      </w:pPr>
      <w:r w:rsidRPr="00E52281">
        <w:rPr>
          <w:rFonts w:ascii="Arial" w:hAnsi="Arial" w:cs="Arial"/>
          <w:sz w:val="20"/>
          <w:szCs w:val="20"/>
        </w:rPr>
        <w:t xml:space="preserve">Priorytet ten ma również zachęcać do tworzenia i oferuje wsparcie w zakresie zasad funkcjonowania </w:t>
      </w:r>
      <w:r w:rsidRPr="00E52281">
        <w:rPr>
          <w:rFonts w:ascii="Arial" w:hAnsi="Arial" w:cs="Arial"/>
          <w:sz w:val="20"/>
          <w:szCs w:val="20"/>
        </w:rPr>
        <w:br/>
        <w:t xml:space="preserve">i działania rad pracowniczych – na poziomie unijnym i poszczególnych krajów UE. Ma pomóc znaleźć odpowiedź na pytanie jak promować reprezentację pracowniczą w postaci rad pracowniczych w Polsce. W obliczu wymogu prawnego (ustawa z dnia 7 kwietnia 2006 r. o informowaniu pracowników </w:t>
      </w:r>
      <w:r w:rsidRPr="00E52281">
        <w:rPr>
          <w:rFonts w:ascii="Arial" w:hAnsi="Arial" w:cs="Arial"/>
          <w:sz w:val="20"/>
          <w:szCs w:val="20"/>
        </w:rPr>
        <w:br/>
        <w:t xml:space="preserve">i przeprowadzaniu z nimi konsultacji (Dz.U. nr 79, poz. 550) powołania Rady Pracowników przez pracodawców zatrudniających co najmniej 50 pracowników lub na wniosek co najmniej 10% załogi, staje się jasne, jak kluczowe jest prawidłowe funkcjonowanie tych organów. </w:t>
      </w:r>
    </w:p>
    <w:p w14:paraId="566C84F3" w14:textId="77777777" w:rsidR="008B72FD" w:rsidRPr="00E52281" w:rsidRDefault="008B72FD" w:rsidP="00E52281">
      <w:pPr>
        <w:jc w:val="both"/>
        <w:rPr>
          <w:rFonts w:ascii="Arial" w:hAnsi="Arial" w:cs="Arial"/>
          <w:sz w:val="20"/>
          <w:szCs w:val="20"/>
        </w:rPr>
      </w:pPr>
    </w:p>
    <w:p w14:paraId="1C354BFA" w14:textId="77777777" w:rsidR="008B72FD" w:rsidRPr="00E52281" w:rsidRDefault="008B72FD" w:rsidP="00E52281">
      <w:pPr>
        <w:jc w:val="both"/>
        <w:rPr>
          <w:rFonts w:ascii="Arial" w:hAnsi="Arial" w:cs="Arial"/>
          <w:sz w:val="20"/>
          <w:szCs w:val="20"/>
        </w:rPr>
      </w:pPr>
      <w:r w:rsidRPr="00E52281">
        <w:rPr>
          <w:rFonts w:ascii="Arial" w:hAnsi="Arial" w:cs="Arial"/>
          <w:sz w:val="20"/>
          <w:szCs w:val="20"/>
        </w:rPr>
        <w:t xml:space="preserve">Rady Pracowników pełnią istotną rolę w zapewnianiu płynności komunikacji pomiędzy pracownikami </w:t>
      </w:r>
      <w:r w:rsidRPr="00E52281">
        <w:rPr>
          <w:rFonts w:ascii="Arial" w:hAnsi="Arial" w:cs="Arial"/>
          <w:sz w:val="20"/>
          <w:szCs w:val="20"/>
        </w:rPr>
        <w:br/>
        <w:t>a pracodawcą, szczególnie w przypadkach, gdzie związki zawodowe nie są obecne.</w:t>
      </w:r>
    </w:p>
    <w:p w14:paraId="3AD49A2C" w14:textId="77777777" w:rsidR="0080122A" w:rsidRPr="00E52281" w:rsidRDefault="0080122A" w:rsidP="00E52281">
      <w:pPr>
        <w:jc w:val="both"/>
        <w:rPr>
          <w:rFonts w:ascii="Arial" w:hAnsi="Arial" w:cs="Arial"/>
          <w:sz w:val="20"/>
          <w:szCs w:val="20"/>
        </w:rPr>
      </w:pPr>
    </w:p>
    <w:p w14:paraId="5BFDB9DB" w14:textId="43B0664D" w:rsidR="008B72FD" w:rsidRPr="00E52281" w:rsidRDefault="008B72FD" w:rsidP="00E52281">
      <w:pPr>
        <w:jc w:val="both"/>
        <w:rPr>
          <w:rFonts w:ascii="Arial" w:hAnsi="Arial" w:cs="Arial"/>
          <w:sz w:val="20"/>
          <w:szCs w:val="20"/>
        </w:rPr>
      </w:pPr>
      <w:r w:rsidRPr="00E52281">
        <w:rPr>
          <w:rFonts w:ascii="Arial" w:hAnsi="Arial" w:cs="Arial"/>
          <w:sz w:val="20"/>
          <w:szCs w:val="20"/>
        </w:rPr>
        <w:t>Priorytet adresowany do wszystkich zainteresowanych pracodawców. Nie ma znaczenia kod PKD czy profil działalności. Zachęca do tworzenia i oferuje wsparcie w zakresie zasad funkcjonowania i działania rad pracowniczych – na poziomie unijnym i poszczególnych krajów UE.</w:t>
      </w:r>
    </w:p>
    <w:p w14:paraId="1155E252" w14:textId="77777777" w:rsidR="0080122A" w:rsidRPr="00E52281" w:rsidRDefault="0080122A" w:rsidP="00E52281">
      <w:pPr>
        <w:jc w:val="both"/>
        <w:rPr>
          <w:rFonts w:ascii="Arial" w:hAnsi="Arial" w:cs="Arial"/>
          <w:b/>
          <w:bCs/>
          <w:color w:val="0A0A0A"/>
          <w:sz w:val="20"/>
          <w:szCs w:val="20"/>
        </w:rPr>
      </w:pPr>
    </w:p>
    <w:p w14:paraId="2978D181" w14:textId="5A4121B6" w:rsidR="00330FAD" w:rsidRDefault="003C0880" w:rsidP="00E52281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color w:val="0A0A0A"/>
          <w:sz w:val="20"/>
          <w:szCs w:val="20"/>
        </w:rPr>
      </w:pPr>
      <w:r>
        <w:rPr>
          <w:rFonts w:ascii="Arial" w:hAnsi="Arial" w:cs="Arial"/>
          <w:b/>
          <w:bCs/>
          <w:color w:val="0A0A0A"/>
          <w:sz w:val="20"/>
          <w:szCs w:val="20"/>
        </w:rPr>
        <w:t>W</w:t>
      </w:r>
      <w:r w:rsidR="00330FAD" w:rsidRPr="00E52281">
        <w:rPr>
          <w:rFonts w:ascii="Arial" w:hAnsi="Arial" w:cs="Arial"/>
          <w:b/>
          <w:bCs/>
          <w:color w:val="0A0A0A"/>
          <w:sz w:val="20"/>
          <w:szCs w:val="20"/>
        </w:rPr>
        <w:t>sparcie kształcenia ustawicznego w zidentyfikowanych w danym powiecie lub województwie zawodach deficytowych.</w:t>
      </w:r>
    </w:p>
    <w:p w14:paraId="27AAA38B" w14:textId="77777777" w:rsidR="00D9615F" w:rsidRPr="00E52281" w:rsidRDefault="00D9615F" w:rsidP="00D9615F">
      <w:pPr>
        <w:pStyle w:val="Akapitzlist"/>
        <w:ind w:left="284"/>
        <w:jc w:val="both"/>
        <w:rPr>
          <w:rFonts w:ascii="Arial" w:hAnsi="Arial" w:cs="Arial"/>
          <w:b/>
          <w:bCs/>
          <w:color w:val="0A0A0A"/>
          <w:sz w:val="20"/>
          <w:szCs w:val="20"/>
        </w:rPr>
      </w:pPr>
    </w:p>
    <w:p w14:paraId="1B0A08D3" w14:textId="7DF01F68" w:rsidR="00330FAD" w:rsidRPr="00E52281" w:rsidRDefault="00330FAD" w:rsidP="00E52281">
      <w:pPr>
        <w:jc w:val="both"/>
        <w:rPr>
          <w:rFonts w:ascii="Arial" w:hAnsi="Arial" w:cs="Arial"/>
          <w:color w:val="0A0A0A"/>
          <w:sz w:val="20"/>
          <w:szCs w:val="20"/>
        </w:rPr>
      </w:pPr>
      <w:r w:rsidRPr="00E52281">
        <w:rPr>
          <w:rFonts w:ascii="Arial" w:hAnsi="Arial" w:cs="Arial"/>
          <w:color w:val="0A0A0A"/>
          <w:sz w:val="20"/>
          <w:szCs w:val="20"/>
        </w:rPr>
        <w:t xml:space="preserve">Wnioskodawca, który chce spełnić wymagania niniejszego priorytetu powinien udowodnić, że wskazana forma kształcenia ustawicznego </w:t>
      </w:r>
      <w:r w:rsidRPr="003C0880">
        <w:rPr>
          <w:rFonts w:ascii="Arial" w:hAnsi="Arial" w:cs="Arial"/>
          <w:b/>
          <w:bCs/>
          <w:color w:val="0A0A0A"/>
          <w:sz w:val="20"/>
          <w:szCs w:val="20"/>
          <w:u w:val="single"/>
        </w:rPr>
        <w:t>dotyczy zawodu deficytowego na terenie powiatu lubańskiego</w:t>
      </w:r>
      <w:r w:rsidRPr="00E52281">
        <w:rPr>
          <w:rFonts w:ascii="Arial" w:hAnsi="Arial" w:cs="Arial"/>
          <w:color w:val="0A0A0A"/>
          <w:sz w:val="20"/>
          <w:szCs w:val="20"/>
        </w:rPr>
        <w:t>. Oznacza to zawód zidentyfikowany jako deficytowy w oparciu o wyniki najbardziej aktualnych badań</w:t>
      </w:r>
      <w:r w:rsidR="003C0880">
        <w:rPr>
          <w:rFonts w:ascii="Arial" w:hAnsi="Arial" w:cs="Arial"/>
          <w:color w:val="0A0A0A"/>
          <w:sz w:val="20"/>
          <w:szCs w:val="20"/>
        </w:rPr>
        <w:t xml:space="preserve"> </w:t>
      </w:r>
      <w:r w:rsidRPr="00E52281">
        <w:rPr>
          <w:rFonts w:ascii="Arial" w:hAnsi="Arial" w:cs="Arial"/>
          <w:color w:val="0A0A0A"/>
          <w:sz w:val="20"/>
          <w:szCs w:val="20"/>
        </w:rPr>
        <w:t>/ analiz, takich jak np.:</w:t>
      </w:r>
    </w:p>
    <w:p w14:paraId="2933F4C2" w14:textId="555EE112" w:rsidR="00330FAD" w:rsidRPr="00F927EC" w:rsidRDefault="00330FAD" w:rsidP="003C0880">
      <w:pPr>
        <w:pStyle w:val="Akapitzlist"/>
        <w:numPr>
          <w:ilvl w:val="0"/>
          <w:numId w:val="2"/>
        </w:numPr>
        <w:ind w:left="284" w:hanging="283"/>
        <w:jc w:val="both"/>
        <w:rPr>
          <w:rFonts w:ascii="Arial" w:hAnsi="Arial" w:cs="Arial"/>
          <w:i/>
          <w:iCs/>
          <w:color w:val="0A0A0A"/>
          <w:sz w:val="20"/>
          <w:szCs w:val="20"/>
        </w:rPr>
      </w:pPr>
      <w:r w:rsidRPr="00F927EC">
        <w:rPr>
          <w:rFonts w:ascii="Arial" w:hAnsi="Arial" w:cs="Arial"/>
          <w:i/>
          <w:iCs/>
          <w:color w:val="0A0A0A"/>
          <w:sz w:val="20"/>
          <w:szCs w:val="20"/>
        </w:rPr>
        <w:t>„Barometr zawodów”</w:t>
      </w:r>
      <w:r w:rsidR="003C0880" w:rsidRPr="00F927EC">
        <w:rPr>
          <w:rFonts w:ascii="Arial" w:hAnsi="Arial" w:cs="Arial"/>
          <w:i/>
          <w:iCs/>
          <w:color w:val="0A0A0A"/>
          <w:sz w:val="20"/>
          <w:szCs w:val="20"/>
        </w:rPr>
        <w:t xml:space="preserve"> </w:t>
      </w:r>
      <w:r w:rsidRPr="00F927EC">
        <w:rPr>
          <w:rFonts w:ascii="Arial" w:hAnsi="Arial" w:cs="Arial"/>
          <w:i/>
          <w:iCs/>
          <w:color w:val="0A0A0A"/>
          <w:sz w:val="20"/>
          <w:szCs w:val="20"/>
        </w:rPr>
        <w:t xml:space="preserve">- powiat lubański: </w:t>
      </w:r>
    </w:p>
    <w:p w14:paraId="599B1EEC" w14:textId="44B0088F" w:rsidR="00A34359" w:rsidRPr="00E52281" w:rsidRDefault="003C0880" w:rsidP="00E52281">
      <w:pPr>
        <w:pStyle w:val="Akapitzlist"/>
        <w:ind w:left="567" w:hanging="294"/>
        <w:jc w:val="both"/>
        <w:rPr>
          <w:rFonts w:ascii="Arial" w:hAnsi="Arial" w:cs="Arial"/>
          <w:color w:val="0A0A0A"/>
          <w:sz w:val="20"/>
          <w:szCs w:val="20"/>
        </w:rPr>
      </w:pPr>
      <w:hyperlink r:id="rId5" w:history="1">
        <w:r w:rsidRPr="0065515B">
          <w:rPr>
            <w:rStyle w:val="Hipercze"/>
            <w:rFonts w:ascii="Arial" w:hAnsi="Arial" w:cs="Arial"/>
            <w:sz w:val="20"/>
            <w:szCs w:val="20"/>
          </w:rPr>
          <w:t>https://barometrzawodow.pl//forecast-card-zip/2026/poster_pl/BAROMETR_ZAWODOW_wojewodztwo_dolnoslaskie_powiat_lubanski_2026.pdf</w:t>
        </w:r>
      </w:hyperlink>
    </w:p>
    <w:p w14:paraId="1F948860" w14:textId="77777777" w:rsidR="00330FAD" w:rsidRPr="00E52281" w:rsidRDefault="00330FAD" w:rsidP="00E52281">
      <w:p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5EF97932" w14:textId="5FD3046B" w:rsidR="003839CC" w:rsidRPr="00E52281" w:rsidRDefault="007C6E26" w:rsidP="00E52281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color w:val="0A0A0A"/>
          <w:sz w:val="20"/>
          <w:szCs w:val="20"/>
        </w:rPr>
      </w:pPr>
      <w:r w:rsidRPr="00E52281">
        <w:rPr>
          <w:rFonts w:ascii="Arial" w:hAnsi="Arial" w:cs="Arial"/>
          <w:b/>
          <w:bCs/>
          <w:color w:val="0A0A0A"/>
          <w:sz w:val="20"/>
          <w:szCs w:val="20"/>
        </w:rPr>
        <w:t xml:space="preserve">Wsparcie kształcenia ustawicznego w związku z zastosowaniem w firmach nowych procesów, technologii i narzędzi pracy, ze szczególnym uwzględnieniem umiejętności cyfrowych, AI oraz tzw. </w:t>
      </w:r>
      <w:r w:rsidR="00F927EC">
        <w:rPr>
          <w:rFonts w:ascii="Arial" w:hAnsi="Arial" w:cs="Arial"/>
          <w:b/>
          <w:bCs/>
          <w:color w:val="0A0A0A"/>
          <w:sz w:val="20"/>
          <w:szCs w:val="20"/>
        </w:rPr>
        <w:t>u</w:t>
      </w:r>
      <w:r w:rsidRPr="00E52281">
        <w:rPr>
          <w:rFonts w:ascii="Arial" w:hAnsi="Arial" w:cs="Arial"/>
          <w:b/>
          <w:bCs/>
          <w:color w:val="0A0A0A"/>
          <w:sz w:val="20"/>
          <w:szCs w:val="20"/>
        </w:rPr>
        <w:t>miejętności zielonych, zwłaszcza gdy powyższe czynniki stanowią zagrożenie utratą pracy.</w:t>
      </w:r>
    </w:p>
    <w:p w14:paraId="57D09B2A" w14:textId="77777777" w:rsidR="00D154C3" w:rsidRPr="00E52281" w:rsidRDefault="00D154C3" w:rsidP="00E52281">
      <w:pPr>
        <w:jc w:val="both"/>
        <w:rPr>
          <w:rFonts w:ascii="Arial" w:hAnsi="Arial" w:cs="Arial"/>
          <w:color w:val="0A0A0A"/>
          <w:sz w:val="20"/>
          <w:szCs w:val="20"/>
        </w:rPr>
      </w:pPr>
    </w:p>
    <w:p w14:paraId="661975E9" w14:textId="01DB5ECD" w:rsidR="00330FAD" w:rsidRPr="00E52281" w:rsidRDefault="00330FAD" w:rsidP="00E52281">
      <w:pPr>
        <w:jc w:val="both"/>
        <w:rPr>
          <w:rFonts w:ascii="Arial" w:hAnsi="Arial" w:cs="Arial"/>
          <w:color w:val="0A0A0A"/>
          <w:sz w:val="20"/>
          <w:szCs w:val="20"/>
        </w:rPr>
      </w:pPr>
      <w:r w:rsidRPr="00E52281">
        <w:rPr>
          <w:rFonts w:ascii="Arial" w:hAnsi="Arial" w:cs="Arial"/>
          <w:color w:val="0A0A0A"/>
          <w:sz w:val="20"/>
          <w:szCs w:val="20"/>
        </w:rPr>
        <w:t xml:space="preserve">Wnioskodawca powinien udowodnić, że w ciągu jednego roku przed złożeniem wniosku bądź </w:t>
      </w:r>
      <w:r w:rsidRPr="00E52281">
        <w:rPr>
          <w:rFonts w:ascii="Arial" w:hAnsi="Arial" w:cs="Arial"/>
          <w:color w:val="0A0A0A"/>
          <w:sz w:val="20"/>
          <w:szCs w:val="20"/>
        </w:rPr>
        <w:br/>
        <w:t xml:space="preserve">w ciągu trzech miesięcy po jego złożeniu zostały/zostaną zakupione nowe maszyny i narzędzia, bądź zostały/będą wdrożone nowe procesy, technologie i systemy, a osoby objęte kształceniem ustawicznym będą wykonywać nowe zadania związane z wprowadzonymi/ planowanymi </w:t>
      </w:r>
      <w:r w:rsidR="00F554E4" w:rsidRPr="00E52281">
        <w:rPr>
          <w:rFonts w:ascii="Arial" w:hAnsi="Arial" w:cs="Arial"/>
          <w:color w:val="0A0A0A"/>
          <w:sz w:val="20"/>
          <w:szCs w:val="20"/>
        </w:rPr>
        <w:t>do wprowadzenia zmianami zwłaszcza związanymi z wykorzystaniem kompetencji cyfrowych czy zastosowaniem umiejętności zielonych.</w:t>
      </w:r>
    </w:p>
    <w:p w14:paraId="2BB273F4" w14:textId="77777777" w:rsidR="00D154C3" w:rsidRPr="00E52281" w:rsidRDefault="00D154C3" w:rsidP="00E52281">
      <w:pPr>
        <w:jc w:val="both"/>
        <w:rPr>
          <w:rFonts w:ascii="Arial" w:hAnsi="Arial" w:cs="Arial"/>
          <w:color w:val="0A0A0A"/>
          <w:sz w:val="20"/>
          <w:szCs w:val="20"/>
        </w:rPr>
      </w:pPr>
    </w:p>
    <w:p w14:paraId="6525BDF7" w14:textId="77777777" w:rsidR="00D154C3" w:rsidRPr="00E52281" w:rsidRDefault="00D154C3" w:rsidP="00E52281">
      <w:pPr>
        <w:jc w:val="both"/>
        <w:rPr>
          <w:rFonts w:ascii="Arial" w:hAnsi="Arial" w:cs="Arial"/>
          <w:color w:val="0A0A0A"/>
          <w:sz w:val="20"/>
          <w:szCs w:val="20"/>
        </w:rPr>
      </w:pPr>
      <w:r w:rsidRPr="00E52281">
        <w:rPr>
          <w:rFonts w:ascii="Arial" w:hAnsi="Arial" w:cs="Arial"/>
          <w:color w:val="0A0A0A"/>
          <w:sz w:val="20"/>
          <w:szCs w:val="20"/>
        </w:rPr>
        <w:t xml:space="preserve">Należy pamiętać, że przez „nowe procesy, technologie czy narzędzia pracy” w niniejszym priorytecie </w:t>
      </w:r>
      <w:r w:rsidRPr="00E52281">
        <w:rPr>
          <w:rFonts w:ascii="Arial" w:hAnsi="Arial" w:cs="Arial"/>
          <w:color w:val="0A0A0A"/>
          <w:sz w:val="20"/>
          <w:szCs w:val="20"/>
        </w:rPr>
        <w:lastRenderedPageBreak/>
        <w:t xml:space="preserve">należy rozumieć procesy, technologie, maszyny czy rozwiązania nowe dla wnioskodawcy a nie dla całego rynku. Przykładowo maszyna istniejąca na rynku od bardzo wielu lat, ale niewykorzystywana do tej pory w firmie wnioskodawcy, jest w jego przypadku „nową technologią czy narzędziem pracy”. </w:t>
      </w:r>
    </w:p>
    <w:p w14:paraId="63798338" w14:textId="5754A408" w:rsidR="00D154C3" w:rsidRPr="00E52281" w:rsidRDefault="00D154C3" w:rsidP="00E52281">
      <w:pPr>
        <w:jc w:val="both"/>
        <w:rPr>
          <w:rFonts w:ascii="Arial" w:hAnsi="Arial" w:cs="Arial"/>
          <w:color w:val="0A0A0A"/>
          <w:sz w:val="20"/>
          <w:szCs w:val="20"/>
        </w:rPr>
      </w:pPr>
      <w:r w:rsidRPr="00E52281">
        <w:rPr>
          <w:rFonts w:ascii="Arial" w:hAnsi="Arial" w:cs="Arial"/>
          <w:color w:val="0A0A0A"/>
          <w:sz w:val="20"/>
          <w:szCs w:val="20"/>
        </w:rPr>
        <w:t xml:space="preserve">Pod pojęciem procesów należy rozumieć zaś serię powiązanych ze sobą działań lub zadań, które rozwiązują problem lub prowadzą do osiągnięcia określonego efektu. Przykładowymi kategoriami procesów biznesowych są: proces zarządczy (który kieruje działaniem systemu, np. zarządzanie przedsiębiorstwem lub zarządzanie strategiczne), proces operacyjny (który dotyczy istoty biznesu </w:t>
      </w:r>
      <w:r w:rsidRPr="00E52281">
        <w:rPr>
          <w:rFonts w:ascii="Arial" w:hAnsi="Arial" w:cs="Arial"/>
          <w:color w:val="0A0A0A"/>
          <w:sz w:val="20"/>
          <w:szCs w:val="20"/>
        </w:rPr>
        <w:br/>
        <w:t>i źródła wartości dodanej, np. zaopatrzenie, produkcja, marketing, sprzedaż), proces pomocniczy (który wspiera procesy główne, np. księgowość, rekrutacja, wsparcie techniczne)</w:t>
      </w:r>
    </w:p>
    <w:p w14:paraId="28E3FA9F" w14:textId="77777777" w:rsidR="00D154C3" w:rsidRPr="00E52281" w:rsidRDefault="00D154C3" w:rsidP="00E52281">
      <w:pPr>
        <w:jc w:val="both"/>
        <w:rPr>
          <w:rFonts w:ascii="Arial" w:hAnsi="Arial" w:cs="Arial"/>
          <w:color w:val="0A0A0A"/>
          <w:sz w:val="20"/>
          <w:szCs w:val="20"/>
        </w:rPr>
      </w:pPr>
    </w:p>
    <w:p w14:paraId="79CD4944" w14:textId="77777777" w:rsidR="00330FAD" w:rsidRPr="00E52281" w:rsidRDefault="00330FAD" w:rsidP="00E52281">
      <w:pPr>
        <w:jc w:val="both"/>
        <w:rPr>
          <w:rFonts w:ascii="Arial" w:hAnsi="Arial" w:cs="Arial"/>
          <w:color w:val="0A0A0A"/>
          <w:sz w:val="20"/>
          <w:szCs w:val="20"/>
        </w:rPr>
      </w:pPr>
      <w:r w:rsidRPr="00E52281">
        <w:rPr>
          <w:rFonts w:ascii="Arial" w:hAnsi="Arial" w:cs="Arial"/>
          <w:color w:val="0A0A0A"/>
          <w:sz w:val="20"/>
          <w:szCs w:val="20"/>
        </w:rPr>
        <w:t xml:space="preserve">Urząd Pracy może żądać dostarczenia przez wnioskodawcę wiarygodnego dokumentu, np. kopii dokumentów zakupu, decyzji dyrektora/ zarządu o wprowadzeniu norm ISO, </w:t>
      </w:r>
      <w:proofErr w:type="gramStart"/>
      <w:r w:rsidRPr="00E52281">
        <w:rPr>
          <w:rFonts w:ascii="Arial" w:hAnsi="Arial" w:cs="Arial"/>
          <w:color w:val="0A0A0A"/>
          <w:sz w:val="20"/>
          <w:szCs w:val="20"/>
        </w:rPr>
        <w:t>itp.,</w:t>
      </w:r>
      <w:proofErr w:type="gramEnd"/>
      <w:r w:rsidRPr="00E52281">
        <w:rPr>
          <w:rFonts w:ascii="Arial" w:hAnsi="Arial" w:cs="Arial"/>
          <w:color w:val="0A0A0A"/>
          <w:sz w:val="20"/>
          <w:szCs w:val="20"/>
        </w:rPr>
        <w:t xml:space="preserve"> oraz logicznego </w:t>
      </w:r>
      <w:r w:rsidRPr="00E52281">
        <w:rPr>
          <w:rFonts w:ascii="Arial" w:hAnsi="Arial" w:cs="Arial"/>
          <w:color w:val="0A0A0A"/>
          <w:sz w:val="20"/>
          <w:szCs w:val="20"/>
        </w:rPr>
        <w:br/>
        <w:t xml:space="preserve">i wiarygodnego uzasadnienia. </w:t>
      </w:r>
    </w:p>
    <w:p w14:paraId="30D31733" w14:textId="77777777" w:rsidR="00D154C3" w:rsidRPr="00E52281" w:rsidRDefault="00D154C3" w:rsidP="00E52281">
      <w:pPr>
        <w:jc w:val="both"/>
        <w:rPr>
          <w:rFonts w:ascii="Arial" w:hAnsi="Arial" w:cs="Arial"/>
          <w:color w:val="0A0A0A"/>
          <w:sz w:val="20"/>
          <w:szCs w:val="20"/>
        </w:rPr>
      </w:pPr>
    </w:p>
    <w:p w14:paraId="5380A126" w14:textId="77777777" w:rsidR="00330FAD" w:rsidRPr="00E52281" w:rsidRDefault="00330FAD" w:rsidP="00E52281">
      <w:pPr>
        <w:jc w:val="both"/>
        <w:rPr>
          <w:rFonts w:ascii="Arial" w:hAnsi="Arial" w:cs="Arial"/>
          <w:color w:val="0A0A0A"/>
          <w:sz w:val="20"/>
          <w:szCs w:val="20"/>
        </w:rPr>
      </w:pPr>
      <w:r w:rsidRPr="00E52281">
        <w:rPr>
          <w:rFonts w:ascii="Arial" w:hAnsi="Arial" w:cs="Arial"/>
          <w:color w:val="0A0A0A"/>
          <w:sz w:val="20"/>
          <w:szCs w:val="20"/>
        </w:rPr>
        <w:t xml:space="preserve">Wsparciem kształcenia ustawicznego w ramach priorytetu można objąć jedynie osobę, która </w:t>
      </w:r>
      <w:r w:rsidRPr="00E52281">
        <w:rPr>
          <w:rFonts w:ascii="Arial" w:hAnsi="Arial" w:cs="Arial"/>
          <w:color w:val="0A0A0A"/>
          <w:sz w:val="20"/>
          <w:szCs w:val="20"/>
        </w:rPr>
        <w:br/>
        <w:t>w ramach wykonywania swoich zadań zawodowych/ na stanowisku pracy korzysta lub będzie korzystała z nowych technologii i narzędzi pracy lub która wymaga nabycia nowych kompetencji niezbędnych do wykonywania pracy w związku z wdrożeniem nowego procesu.</w:t>
      </w:r>
    </w:p>
    <w:p w14:paraId="1252DD4A" w14:textId="77777777" w:rsidR="0000792D" w:rsidRPr="00E52281" w:rsidRDefault="0000792D" w:rsidP="00E52281">
      <w:pPr>
        <w:pStyle w:val="Akapitzlist"/>
        <w:widowControl/>
        <w:suppressAutoHyphens w:val="0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b/>
          <w:bCs/>
          <w:kern w:val="0"/>
          <w:sz w:val="20"/>
          <w:szCs w:val="20"/>
          <w:lang w:eastAsia="en-US"/>
          <w14:ligatures w14:val="standardContextual"/>
        </w:rPr>
      </w:pPr>
    </w:p>
    <w:p w14:paraId="33A95C9B" w14:textId="53867186" w:rsidR="00D154C3" w:rsidRPr="00E52281" w:rsidRDefault="00F927EC" w:rsidP="00E52281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b/>
          <w:bCs/>
          <w:kern w:val="0"/>
          <w:sz w:val="20"/>
          <w:szCs w:val="20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kern w:val="0"/>
          <w:sz w:val="20"/>
          <w:szCs w:val="20"/>
          <w:lang w:eastAsia="en-US"/>
          <w14:ligatures w14:val="standardContextual"/>
        </w:rPr>
        <w:t>W</w:t>
      </w:r>
      <w:r w:rsidR="0000792D" w:rsidRPr="00E52281">
        <w:rPr>
          <w:rFonts w:ascii="Arial" w:eastAsiaTheme="minorHAnsi" w:hAnsi="Arial" w:cs="Arial"/>
          <w:b/>
          <w:bCs/>
          <w:kern w:val="0"/>
          <w:sz w:val="20"/>
          <w:szCs w:val="20"/>
          <w:lang w:eastAsia="en-US"/>
          <w14:ligatures w14:val="standardContextual"/>
        </w:rPr>
        <w:t xml:space="preserve">sparcie rozwoju umiejętności i kwalifikacji niezbędnych w sektorze usług zdrowotnych </w:t>
      </w:r>
      <w:r>
        <w:rPr>
          <w:rFonts w:ascii="Arial" w:eastAsiaTheme="minorHAnsi" w:hAnsi="Arial" w:cs="Arial"/>
          <w:b/>
          <w:bCs/>
          <w:kern w:val="0"/>
          <w:sz w:val="20"/>
          <w:szCs w:val="20"/>
          <w:lang w:eastAsia="en-US"/>
          <w14:ligatures w14:val="standardContextual"/>
        </w:rPr>
        <w:br/>
      </w:r>
      <w:r w:rsidR="0000792D" w:rsidRPr="00E52281">
        <w:rPr>
          <w:rFonts w:ascii="Arial" w:eastAsiaTheme="minorHAnsi" w:hAnsi="Arial" w:cs="Arial"/>
          <w:b/>
          <w:bCs/>
          <w:kern w:val="0"/>
          <w:sz w:val="20"/>
          <w:szCs w:val="20"/>
          <w:lang w:eastAsia="en-US"/>
          <w14:ligatures w14:val="standardContextual"/>
        </w:rPr>
        <w:t>i opiekuńczych oraz wsparcie rozwoju umiejętności i kwalifikacji członków lub pracowników spółdzielni socjalnych oraz pracowników zatrudnionych w przedsiębiorstwach społecznych wskazanych na liście/rejestrze przedsiębiorstw społecznych prowadzonym przez MRPiPS</w:t>
      </w:r>
    </w:p>
    <w:p w14:paraId="0E58CB80" w14:textId="77777777" w:rsidR="00D154C3" w:rsidRPr="00E52281" w:rsidRDefault="00D154C3" w:rsidP="00E52281">
      <w:pPr>
        <w:pStyle w:val="Akapitzlist"/>
        <w:widowControl/>
        <w:suppressAutoHyphens w:val="0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b/>
          <w:bCs/>
          <w:kern w:val="0"/>
          <w:sz w:val="20"/>
          <w:szCs w:val="20"/>
          <w:lang w:eastAsia="en-US"/>
          <w14:ligatures w14:val="standardContextual"/>
        </w:rPr>
      </w:pPr>
    </w:p>
    <w:p w14:paraId="63DC4A7F" w14:textId="6F3190E4" w:rsidR="0000792D" w:rsidRPr="00E52281" w:rsidRDefault="0000792D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E52281">
        <w:rPr>
          <w:rFonts w:ascii="Arial" w:hAnsi="Arial" w:cs="Arial"/>
          <w:sz w:val="20"/>
          <w:szCs w:val="20"/>
          <w:lang w:eastAsia="en-US"/>
        </w:rPr>
        <w:t>Priorytet niniejszy składa się z dwóch odrębnych elementów adresowanych do odrębnych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odbiorców.</w:t>
      </w:r>
    </w:p>
    <w:p w14:paraId="04C5B450" w14:textId="441F204C" w:rsidR="00D86927" w:rsidRPr="00E52281" w:rsidRDefault="00D01B1E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E52281">
        <w:rPr>
          <w:rFonts w:ascii="Arial" w:hAnsi="Arial" w:cs="Arial"/>
          <w:sz w:val="20"/>
          <w:szCs w:val="20"/>
          <w:lang w:eastAsia="en-US"/>
        </w:rPr>
        <w:t>Celem wprowadzenia niniejszego priorytetu jest chęć wsparcia osób zatrudnionych w sektorze usług zdrowotnych i opiekuńczych.</w:t>
      </w:r>
    </w:p>
    <w:p w14:paraId="62132192" w14:textId="77777777" w:rsidR="00D01B1E" w:rsidRPr="00E52281" w:rsidRDefault="00D01B1E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735C5953" w14:textId="17F1D555" w:rsidR="00D01B1E" w:rsidRPr="00E52281" w:rsidRDefault="0000792D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E52281">
        <w:rPr>
          <w:rFonts w:ascii="Arial" w:hAnsi="Arial" w:cs="Arial"/>
          <w:sz w:val="20"/>
          <w:szCs w:val="20"/>
          <w:lang w:eastAsia="en-US"/>
        </w:rPr>
        <w:t xml:space="preserve">Pierwsza część adresowana jest do podmiotów działających w sektorze usług zdrowotnych </w:t>
      </w:r>
      <w:r w:rsidR="00D70DAF" w:rsidRPr="00E52281">
        <w:rPr>
          <w:rFonts w:ascii="Arial" w:hAnsi="Arial" w:cs="Arial"/>
          <w:sz w:val="20"/>
          <w:szCs w:val="20"/>
          <w:lang w:eastAsia="en-US"/>
        </w:rPr>
        <w:br/>
      </w:r>
      <w:r w:rsidRPr="00E52281">
        <w:rPr>
          <w:rFonts w:ascii="Arial" w:hAnsi="Arial" w:cs="Arial"/>
          <w:sz w:val="20"/>
          <w:szCs w:val="20"/>
          <w:lang w:eastAsia="en-US"/>
        </w:rPr>
        <w:t>i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 xml:space="preserve">opiekuńczych. Zgodnie z ustawą z dnia 15 kwietnia 2011 r. o działalności leczniczej </w:t>
      </w:r>
      <w:r w:rsidR="00D70DAF" w:rsidRPr="00E52281">
        <w:rPr>
          <w:rFonts w:ascii="Arial" w:hAnsi="Arial" w:cs="Arial"/>
          <w:sz w:val="20"/>
          <w:szCs w:val="20"/>
          <w:lang w:eastAsia="en-US"/>
        </w:rPr>
        <w:br/>
      </w:r>
      <w:r w:rsidRPr="00E52281">
        <w:rPr>
          <w:rFonts w:ascii="Arial" w:hAnsi="Arial" w:cs="Arial"/>
          <w:sz w:val="20"/>
          <w:szCs w:val="20"/>
          <w:lang w:eastAsia="en-US"/>
        </w:rPr>
        <w:t>(t.j. Dz. U.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z 2024 r. poz. 799) świadczeniami zdrowotnymi są działania służące zachowaniu, ratowaniu,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przywracaniu lub poprawie zdrowia oraz inne działania medyczne wynikające z procesu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leczenia. Udzielanie świadczeń zdrowotnych odbywa się w ramach działalności leczniczej.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0D58C2FE" w14:textId="3391EDAE" w:rsidR="0000792D" w:rsidRPr="00E52281" w:rsidRDefault="0000792D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E52281">
        <w:rPr>
          <w:rFonts w:ascii="Arial" w:hAnsi="Arial" w:cs="Arial"/>
          <w:sz w:val="20"/>
          <w:szCs w:val="20"/>
          <w:lang w:eastAsia="en-US"/>
        </w:rPr>
        <w:t>Ustawodawca wyodrębnił przy tym jej dwa rodzaje – polegającą na: stacjonarnym i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całodobowym udzielaniu świadczeń zdrowotnych oraz ambulatoryjnym udzielaniu świadczeń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 xml:space="preserve">zdrowotnych – czyli </w:t>
      </w:r>
      <w:r w:rsidR="00D70DAF" w:rsidRPr="00E52281">
        <w:rPr>
          <w:rFonts w:ascii="Arial" w:hAnsi="Arial" w:cs="Arial"/>
          <w:sz w:val="20"/>
          <w:szCs w:val="20"/>
          <w:lang w:eastAsia="en-US"/>
        </w:rPr>
        <w:br/>
      </w:r>
      <w:r w:rsidRPr="00E52281">
        <w:rPr>
          <w:rFonts w:ascii="Arial" w:hAnsi="Arial" w:cs="Arial"/>
          <w:sz w:val="20"/>
          <w:szCs w:val="20"/>
          <w:lang w:eastAsia="en-US"/>
        </w:rPr>
        <w:t>w warunkach niewymagających udzielania świadczeń w trybie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stacjonarnym i całodobowym.</w:t>
      </w:r>
    </w:p>
    <w:p w14:paraId="203AAE15" w14:textId="77777777" w:rsidR="00D86927" w:rsidRPr="00E52281" w:rsidRDefault="00D86927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0188EAE9" w14:textId="77777777" w:rsidR="00F927EC" w:rsidRDefault="0000792D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E52281">
        <w:rPr>
          <w:rFonts w:ascii="Arial" w:hAnsi="Arial" w:cs="Arial"/>
          <w:sz w:val="20"/>
          <w:szCs w:val="20"/>
          <w:lang w:eastAsia="en-US"/>
        </w:rPr>
        <w:t>Warunkiem skorzystania z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dostępnych środków jest oświadczenie wnioskodawcy o konieczności odbycia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wnioskowanego szkolenia lub nabycia określonych umiejętności z zakresu usług zdrowotnych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i opiekuńczych. Dostęp do priorytetu ma każdy pracodawca bądź prowadzący jednoosobową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działalność gospodarczą posiadający PKD w Sekcji Q tj. Opieka zdrowotna i pomoc społeczna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70DAF" w:rsidRPr="00E52281">
        <w:rPr>
          <w:rFonts w:ascii="Arial" w:hAnsi="Arial" w:cs="Arial"/>
          <w:sz w:val="20"/>
          <w:szCs w:val="20"/>
          <w:lang w:eastAsia="en-US"/>
        </w:rPr>
        <w:br/>
      </w:r>
      <w:r w:rsidRPr="00E52281">
        <w:rPr>
          <w:rFonts w:ascii="Arial" w:hAnsi="Arial" w:cs="Arial"/>
          <w:sz w:val="20"/>
          <w:szCs w:val="20"/>
          <w:lang w:eastAsia="en-US"/>
        </w:rPr>
        <w:t>w działach 86 – Opieka zdrowotna, 87- Pomoc społeczna z zakwaterowaniem, 88 – Pomoc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społeczna bez zakwaterowania. W ramach tego priorytetu można dofinansować dopuszczalne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ustawą formy kształcenia ustawicznego bezpośrednio związane z szeroko pojętą opieką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 xml:space="preserve">zdrowotną czy opieką społeczną. </w:t>
      </w:r>
    </w:p>
    <w:p w14:paraId="0C4C7FC1" w14:textId="67BE106C" w:rsidR="0000792D" w:rsidRDefault="0000792D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E52281">
        <w:rPr>
          <w:rFonts w:ascii="Arial" w:hAnsi="Arial" w:cs="Arial"/>
          <w:sz w:val="20"/>
          <w:szCs w:val="20"/>
          <w:lang w:eastAsia="en-US"/>
        </w:rPr>
        <w:t>Należy jednak pamiętać, że w ramach KFS nie można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finansować tych samych szkoleń, na które przeznaczone są inne środki publiczne np. środki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na specjalizacje pielęgniarek i położnych.</w:t>
      </w:r>
    </w:p>
    <w:p w14:paraId="6C2D75C5" w14:textId="77777777" w:rsidR="00F927EC" w:rsidRPr="00E52281" w:rsidRDefault="00F927EC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0C834BF1" w14:textId="27053365" w:rsidR="0000792D" w:rsidRPr="00E52281" w:rsidRDefault="0000792D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E52281">
        <w:rPr>
          <w:rFonts w:ascii="Arial" w:hAnsi="Arial" w:cs="Arial"/>
          <w:sz w:val="20"/>
          <w:szCs w:val="20"/>
          <w:lang w:eastAsia="en-US"/>
        </w:rPr>
        <w:t>Podmiotami uprawnionymi do korzystania z środków w ramach drugiej części niniejszego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priorytetu są:</w:t>
      </w:r>
    </w:p>
    <w:p w14:paraId="3A181040" w14:textId="0A05144D" w:rsidR="00F927EC" w:rsidRDefault="0000792D" w:rsidP="00F927EC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E52281">
        <w:rPr>
          <w:rFonts w:ascii="Arial" w:hAnsi="Arial" w:cs="Arial"/>
          <w:sz w:val="20"/>
          <w:szCs w:val="20"/>
          <w:lang w:eastAsia="en-US"/>
        </w:rPr>
        <w:t>Przedsiębiorstwa społeczne wpisane do wykazu przedsiębiorstw społecznych,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 xml:space="preserve">który zgodnie </w:t>
      </w:r>
      <w:r w:rsidR="00F927EC">
        <w:rPr>
          <w:rFonts w:ascii="Arial" w:hAnsi="Arial" w:cs="Arial"/>
          <w:sz w:val="20"/>
          <w:szCs w:val="20"/>
          <w:lang w:eastAsia="en-US"/>
        </w:rPr>
        <w:br/>
      </w:r>
      <w:r w:rsidRPr="00E52281">
        <w:rPr>
          <w:rFonts w:ascii="Arial" w:hAnsi="Arial" w:cs="Arial"/>
          <w:sz w:val="20"/>
          <w:szCs w:val="20"/>
          <w:lang w:eastAsia="en-US"/>
        </w:rPr>
        <w:t>z ustawą o ekonomii społecznej prowadzony jest przez MRPiPS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w systemie Rejestr Jednostek Pomocy Społecznej (RJPS), pod adresem</w:t>
      </w:r>
      <w:r w:rsidR="00F927EC">
        <w:rPr>
          <w:rFonts w:ascii="Arial" w:hAnsi="Arial" w:cs="Arial"/>
          <w:sz w:val="20"/>
          <w:szCs w:val="20"/>
          <w:lang w:eastAsia="en-US"/>
        </w:rPr>
        <w:t xml:space="preserve"> </w:t>
      </w:r>
      <w:hyperlink r:id="rId6" w:history="1">
        <w:r w:rsidR="00F927EC" w:rsidRPr="0065515B">
          <w:rPr>
            <w:rStyle w:val="Hipercze"/>
            <w:rFonts w:ascii="Arial" w:hAnsi="Arial" w:cs="Arial"/>
            <w:sz w:val="20"/>
            <w:szCs w:val="20"/>
            <w:lang w:eastAsia="en-US"/>
          </w:rPr>
          <w:t>https://rjps.mpips.gov.pl/RJPS/RU/start.do?id_menu=59</w:t>
        </w:r>
      </w:hyperlink>
    </w:p>
    <w:p w14:paraId="00C71563" w14:textId="2133E587" w:rsidR="00D70DAF" w:rsidRPr="00E52281" w:rsidRDefault="0000792D" w:rsidP="0060570E">
      <w:pPr>
        <w:pStyle w:val="Akapitzlist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0568EDFC" w14:textId="77777777" w:rsidR="0060570E" w:rsidRDefault="0000792D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E52281">
        <w:rPr>
          <w:rFonts w:ascii="Arial" w:hAnsi="Arial" w:cs="Arial"/>
          <w:sz w:val="20"/>
          <w:szCs w:val="20"/>
          <w:lang w:eastAsia="en-US"/>
        </w:rPr>
        <w:t>Wykaz zawiera tylko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przedsiębiorstwa społeczne, którym status ten został nadany przez wojewodę,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o</w:t>
      </w:r>
      <w:r w:rsidRPr="00E52281">
        <w:rPr>
          <w:rFonts w:ascii="Arial" w:hAnsi="Arial" w:cs="Arial"/>
          <w:sz w:val="20"/>
          <w:szCs w:val="20"/>
          <w:lang w:eastAsia="en-US"/>
        </w:rPr>
        <w:t>dpowiedniego ze względu na siedzibę podmiotu. Nadanie statusu odbywa się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poprzez wydanie decyzji administracyjnej, po wcześniejszej dokładnej weryfikacji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spełniania przez wnioskujący podmiot warunków określonych w ustawie o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ekonomii społecznej. Z tego względu nie ma konieczności prowadzenia dodatkowej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 xml:space="preserve">weryfikacji na potrzeby ustalenia czy pracodawca aplikujący o wsparcie 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spełnia</w:t>
      </w:r>
      <w:r w:rsidR="00D86927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przesłanki niezbędne do uzyskania tego statusu, wystarczy jedynie sprawdzić, czy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w momencie składania wniosku figuruje on w rejestrze przedsiębiorstw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 xml:space="preserve">społecznych. </w:t>
      </w:r>
    </w:p>
    <w:p w14:paraId="57E90364" w14:textId="77777777" w:rsidR="0060570E" w:rsidRDefault="0060570E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273C90BB" w14:textId="5EF934F2" w:rsidR="0000792D" w:rsidRDefault="0000792D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E52281">
        <w:rPr>
          <w:rFonts w:ascii="Arial" w:hAnsi="Arial" w:cs="Arial"/>
          <w:sz w:val="20"/>
          <w:szCs w:val="20"/>
          <w:lang w:eastAsia="en-US"/>
        </w:rPr>
        <w:t>Status przedsiębiorstwa społecznego mogą uzyskać m.in. organizacje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 xml:space="preserve">pozarządowe (np. fundacje </w:t>
      </w:r>
      <w:r w:rsidR="0060570E">
        <w:rPr>
          <w:rFonts w:ascii="Arial" w:hAnsi="Arial" w:cs="Arial"/>
          <w:sz w:val="20"/>
          <w:szCs w:val="20"/>
          <w:lang w:eastAsia="en-US"/>
        </w:rPr>
        <w:br/>
      </w:r>
      <w:r w:rsidRPr="00E52281">
        <w:rPr>
          <w:rFonts w:ascii="Arial" w:hAnsi="Arial" w:cs="Arial"/>
          <w:sz w:val="20"/>
          <w:szCs w:val="20"/>
          <w:lang w:eastAsia="en-US"/>
        </w:rPr>
        <w:t>i stowarzyszenia), spółki non-profit, spółdzielnie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socjalne, a także kościelne osoby prawne.</w:t>
      </w:r>
    </w:p>
    <w:p w14:paraId="4AA76DB4" w14:textId="77777777" w:rsidR="00D9615F" w:rsidRDefault="00D9615F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7F8BB4F9" w14:textId="77777777" w:rsidR="0081217F" w:rsidRDefault="0081217F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05C54D0B" w14:textId="77777777" w:rsidR="0081217F" w:rsidRPr="00E52281" w:rsidRDefault="0081217F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4914A774" w14:textId="77777777" w:rsidR="00D70DAF" w:rsidRPr="00E52281" w:rsidRDefault="00D70DAF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11CE0AD3" w14:textId="59445437" w:rsidR="00D01B1E" w:rsidRDefault="0000792D" w:rsidP="00E52281">
      <w:pPr>
        <w:pStyle w:val="Akapitzlist"/>
        <w:numPr>
          <w:ilvl w:val="0"/>
          <w:numId w:val="8"/>
        </w:numPr>
        <w:ind w:left="426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60570E">
        <w:rPr>
          <w:rFonts w:ascii="Arial" w:hAnsi="Arial" w:cs="Arial"/>
          <w:sz w:val="20"/>
          <w:szCs w:val="20"/>
          <w:lang w:eastAsia="en-US"/>
        </w:rPr>
        <w:lastRenderedPageBreak/>
        <w:t>Spółdzielnie socjalne – to podmioty wpisane do Krajowego Rejestru Sądowego, na</w:t>
      </w:r>
      <w:r w:rsidR="00D01B1E" w:rsidRPr="0060570E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0570E">
        <w:rPr>
          <w:rFonts w:ascii="Arial" w:hAnsi="Arial" w:cs="Arial"/>
          <w:sz w:val="20"/>
          <w:szCs w:val="20"/>
          <w:lang w:eastAsia="en-US"/>
        </w:rPr>
        <w:t>tej podstawie można zweryfikować ich formę prawną. Spółdzielnie socjalne mogą</w:t>
      </w:r>
      <w:r w:rsidR="00D01B1E" w:rsidRPr="0060570E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0570E">
        <w:rPr>
          <w:rFonts w:ascii="Arial" w:hAnsi="Arial" w:cs="Arial"/>
          <w:sz w:val="20"/>
          <w:szCs w:val="20"/>
          <w:lang w:eastAsia="en-US"/>
        </w:rPr>
        <w:t>uzyskać status przedsiębiorstwa społecznego</w:t>
      </w:r>
    </w:p>
    <w:p w14:paraId="489EB0D0" w14:textId="77777777" w:rsidR="0060570E" w:rsidRPr="0060570E" w:rsidRDefault="0060570E" w:rsidP="0060570E">
      <w:pPr>
        <w:pStyle w:val="Akapitzlist"/>
        <w:ind w:left="426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C9A919C" w14:textId="0AF1FDDF" w:rsidR="0000792D" w:rsidRPr="00E52281" w:rsidRDefault="0000792D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E52281">
        <w:rPr>
          <w:rFonts w:ascii="Arial" w:hAnsi="Arial" w:cs="Arial"/>
          <w:sz w:val="20"/>
          <w:szCs w:val="20"/>
          <w:lang w:eastAsia="en-US"/>
        </w:rPr>
        <w:t>Ze środków w ramach tej części priorytetu korzystać mogą wszyscy pracownicy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przedsiębiorstw społecznych oraz pracownicy i członkowie spółdzielni socjalnych. Dopuszczalne są wszystkie formy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kształcenia ustawicznego. Nie ma również znaczenia tematyka wnioskowanego szkolenia.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Należy jedynie uzasadnić, że wnioskowana forma kształcenia ustawicznego niezbędna jest</w:t>
      </w:r>
      <w:r w:rsidR="00D01B1E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przy wykonywaniu obowiązków służbowych.</w:t>
      </w:r>
    </w:p>
    <w:p w14:paraId="072B8636" w14:textId="77777777" w:rsidR="00D95F09" w:rsidRPr="00E52281" w:rsidRDefault="00D95F09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42761AF0" w14:textId="77777777" w:rsidR="00D95F09" w:rsidRPr="00E52281" w:rsidRDefault="00D95F09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481C054D" w14:textId="7F22A9A5" w:rsidR="00D95F09" w:rsidRPr="00E52281" w:rsidRDefault="00D95F09" w:rsidP="00230105">
      <w:pPr>
        <w:pStyle w:val="Akapitzlist"/>
        <w:numPr>
          <w:ilvl w:val="0"/>
          <w:numId w:val="9"/>
        </w:numPr>
        <w:ind w:left="142" w:hanging="142"/>
        <w:jc w:val="both"/>
        <w:rPr>
          <w:rFonts w:ascii="Arial" w:hAnsi="Arial" w:cs="Arial"/>
          <w:sz w:val="20"/>
          <w:szCs w:val="20"/>
          <w:lang w:eastAsia="en-US"/>
        </w:rPr>
      </w:pPr>
      <w:r w:rsidRPr="00230105">
        <w:rPr>
          <w:rFonts w:ascii="Arial" w:hAnsi="Arial" w:cs="Arial"/>
          <w:b/>
          <w:bCs/>
          <w:color w:val="0070C0"/>
          <w:sz w:val="20"/>
          <w:szCs w:val="20"/>
        </w:rPr>
        <w:t>Priorytety</w:t>
      </w:r>
      <w:r w:rsidRPr="00E52281">
        <w:rPr>
          <w:rFonts w:ascii="Arial" w:hAnsi="Arial" w:cs="Arial"/>
          <w:b/>
          <w:bCs/>
          <w:color w:val="0070C0"/>
          <w:sz w:val="20"/>
          <w:szCs w:val="20"/>
        </w:rPr>
        <w:t xml:space="preserve"> regionalne dla Dolnego Śląska pozytywne zaopiniowane </w:t>
      </w:r>
      <w:r w:rsidR="00FF2420" w:rsidRPr="00E52281">
        <w:rPr>
          <w:rFonts w:ascii="Arial" w:hAnsi="Arial" w:cs="Arial"/>
          <w:b/>
          <w:bCs/>
          <w:color w:val="0070C0"/>
          <w:sz w:val="20"/>
          <w:szCs w:val="20"/>
        </w:rPr>
        <w:t>przez Wojewódzką Radę Rynku Pracy we Wrocławiu:</w:t>
      </w:r>
    </w:p>
    <w:p w14:paraId="1B455768" w14:textId="77777777" w:rsidR="00D95F09" w:rsidRPr="00E52281" w:rsidRDefault="00D95F09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7ECBF8D1" w14:textId="47234DDE" w:rsidR="00E52281" w:rsidRDefault="00E52281" w:rsidP="00E52281">
      <w:pPr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E52281">
        <w:rPr>
          <w:rFonts w:ascii="Arial" w:hAnsi="Arial" w:cs="Arial"/>
          <w:b/>
          <w:bCs/>
          <w:sz w:val="20"/>
          <w:szCs w:val="20"/>
          <w:lang w:eastAsia="en-US"/>
        </w:rPr>
        <w:t xml:space="preserve">Priorytet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1</w:t>
      </w:r>
      <w:r w:rsidR="00ED0A44">
        <w:rPr>
          <w:rFonts w:ascii="Arial" w:hAnsi="Arial" w:cs="Arial"/>
          <w:b/>
          <w:bCs/>
          <w:sz w:val="20"/>
          <w:szCs w:val="20"/>
          <w:lang w:eastAsia="en-US"/>
        </w:rPr>
        <w:t xml:space="preserve"> – </w:t>
      </w:r>
      <w:r w:rsidR="00ED0A44" w:rsidRPr="00ED0A44">
        <w:rPr>
          <w:rFonts w:ascii="Arial" w:hAnsi="Arial" w:cs="Arial"/>
          <w:b/>
          <w:bCs/>
          <w:sz w:val="20"/>
          <w:szCs w:val="20"/>
          <w:lang w:eastAsia="en-US"/>
        </w:rPr>
        <w:t>Wsparcie dla instruktorów praktycznej nauki zawodu bądź osób mających zamiar podjęcia się tego zajęcia, opiekunów praktyk zawodowych i opiekunów stażu uczniowskiego oraz szkoleń branżowych dla nauczycieli kształcenia zawodowego.</w:t>
      </w:r>
    </w:p>
    <w:p w14:paraId="182C553D" w14:textId="77777777" w:rsidR="00ED0A44" w:rsidRPr="00E52281" w:rsidRDefault="00ED0A44" w:rsidP="00E52281">
      <w:pPr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3EEA5880" w14:textId="5DB6E21D" w:rsidR="000013C6" w:rsidRDefault="000013C6" w:rsidP="000013C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</w:pPr>
      <w:r w:rsidRPr="000013C6"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>W ramach tego priorytetu środki KFS będą mogły sfinansować obowiązkowe szkolenia branżowe nauczycieli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 xml:space="preserve"> </w:t>
      </w:r>
      <w:r w:rsidRPr="000013C6"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>teoretycznych przedmiotów zawodowych i nauczycieli praktycznej nauki zawodu zatrudnionych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 xml:space="preserve"> </w:t>
      </w:r>
      <w:r w:rsidRPr="000013C6"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>w publicznych szkołach prowadzących kształcenie zawodowe oraz w publicznych placówkach kształcenia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 xml:space="preserve"> </w:t>
      </w:r>
      <w:r w:rsidRPr="000013C6"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>ustawicznego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 xml:space="preserve"> </w:t>
      </w:r>
      <w:r w:rsidRPr="000013C6"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>i w publicznych centrach kształcenia zawodowego – prowadzonych zarówno przez jednostki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 xml:space="preserve"> </w:t>
      </w:r>
      <w:r w:rsidRPr="000013C6"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 xml:space="preserve">samorządu terytorialnego jak również przez osoby fizyczne </w:t>
      </w:r>
      <w:r w:rsidR="00C90674"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br/>
      </w:r>
      <w:r w:rsidRPr="000013C6"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>i osoby prawne niebędące jednostkami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 xml:space="preserve"> </w:t>
      </w:r>
      <w:r w:rsidRPr="000013C6"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>samorządu terytorialnego.</w:t>
      </w:r>
    </w:p>
    <w:p w14:paraId="28457DD5" w14:textId="77777777" w:rsidR="00C90674" w:rsidRPr="000013C6" w:rsidRDefault="00C90674" w:rsidP="000013C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</w:pPr>
    </w:p>
    <w:p w14:paraId="518D0428" w14:textId="6D387846" w:rsidR="000013C6" w:rsidRDefault="000013C6" w:rsidP="000013C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</w:pPr>
      <w:r w:rsidRPr="000013C6"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>Priorytet ten pozwala również na skorzystanie z dofinansowania do różnych form kształcenia ustawicznego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 xml:space="preserve"> </w:t>
      </w:r>
      <w:r w:rsidRPr="000013C6"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>osób, którym powierzono obowiązki instruktorów praktycznej nauki zawodu lub deklarujących chęć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 xml:space="preserve"> </w:t>
      </w:r>
      <w:r w:rsidRPr="000013C6"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>podjęcia się takiego zajęcia, opiekunów praktyk zawodowych i opiekunów stażu uczniowskiego. Grupę tę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 xml:space="preserve"> </w:t>
      </w:r>
      <w:r w:rsidRPr="000013C6"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>stanowią pracodawcy lub pracownicy podmiotów przyjmujących uczniów na staż bądź osoby prowadzące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 xml:space="preserve"> </w:t>
      </w:r>
      <w:r w:rsidRPr="000013C6"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  <w:t>indywidualne gospodarstwa rolne.</w:t>
      </w:r>
    </w:p>
    <w:p w14:paraId="4B38D101" w14:textId="77777777" w:rsidR="00C90674" w:rsidRPr="000013C6" w:rsidRDefault="00C90674" w:rsidP="000013C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  <w14:ligatures w14:val="standardContextual"/>
        </w:rPr>
      </w:pPr>
    </w:p>
    <w:p w14:paraId="5BFB06CD" w14:textId="5AD8D614" w:rsidR="00943E34" w:rsidRPr="00E52281" w:rsidRDefault="00943E34" w:rsidP="00E52281">
      <w:pPr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E52281">
        <w:rPr>
          <w:rFonts w:ascii="Arial" w:hAnsi="Arial" w:cs="Arial"/>
          <w:b/>
          <w:bCs/>
          <w:sz w:val="20"/>
          <w:szCs w:val="20"/>
          <w:lang w:eastAsia="en-US"/>
        </w:rPr>
        <w:t>Priorytet 2</w:t>
      </w:r>
      <w:r w:rsidR="00A45B5F" w:rsidRPr="00E52281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="001E6F25">
        <w:rPr>
          <w:rFonts w:ascii="Arial" w:hAnsi="Arial" w:cs="Arial"/>
          <w:b/>
          <w:bCs/>
          <w:sz w:val="20"/>
          <w:szCs w:val="20"/>
          <w:lang w:eastAsia="en-US"/>
        </w:rPr>
        <w:t>–</w:t>
      </w:r>
      <w:r w:rsidR="00A45B5F" w:rsidRPr="00E52281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b/>
          <w:bCs/>
          <w:sz w:val="20"/>
          <w:szCs w:val="20"/>
          <w:lang w:eastAsia="en-US"/>
        </w:rPr>
        <w:t>Wsparcie osób powracających na rynek pracy po przerwie związanej z opieką nad dzieckiem lub osobą zależną</w:t>
      </w:r>
      <w:r w:rsidR="00A45B5F" w:rsidRPr="00E52281">
        <w:rPr>
          <w:rFonts w:ascii="Arial" w:hAnsi="Arial" w:cs="Arial"/>
          <w:b/>
          <w:bCs/>
          <w:sz w:val="20"/>
          <w:szCs w:val="20"/>
          <w:lang w:eastAsia="en-US"/>
        </w:rPr>
        <w:t>.</w:t>
      </w:r>
    </w:p>
    <w:p w14:paraId="7C585467" w14:textId="77777777" w:rsidR="00A45B5F" w:rsidRPr="00E52281" w:rsidRDefault="00A45B5F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6E629E06" w14:textId="0CC8D477" w:rsidR="00943E34" w:rsidRPr="00E52281" w:rsidRDefault="00943E34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E52281">
        <w:rPr>
          <w:rFonts w:ascii="Arial" w:hAnsi="Arial" w:cs="Arial"/>
          <w:sz w:val="20"/>
          <w:szCs w:val="20"/>
          <w:lang w:eastAsia="en-US"/>
        </w:rPr>
        <w:t>Przyjęty zapis priorytetu pozwala na sfinansowanie niezbędnych form kształcenia ustawicznego osobom,</w:t>
      </w:r>
      <w:r w:rsidR="00A45B5F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które powracają na rynek pracy po przerwie spowodowanej</w:t>
      </w:r>
      <w:r w:rsidR="00A45B5F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sprawowaniem opieki nad dzieckiem lub osobą</w:t>
      </w:r>
      <w:r w:rsidR="00A45B5F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zależną.</w:t>
      </w:r>
    </w:p>
    <w:p w14:paraId="5C06E041" w14:textId="73796EDB" w:rsidR="00943E34" w:rsidRPr="00E52281" w:rsidRDefault="00943E34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E52281">
        <w:rPr>
          <w:rFonts w:ascii="Arial" w:hAnsi="Arial" w:cs="Arial"/>
          <w:sz w:val="20"/>
          <w:szCs w:val="20"/>
          <w:lang w:eastAsia="en-US"/>
        </w:rPr>
        <w:t xml:space="preserve">Priorytet adresowany jest do osób, które w ciągu jednego roku przed datą złożenia wniosku </w:t>
      </w:r>
      <w:r w:rsidR="002F58B4">
        <w:rPr>
          <w:rFonts w:ascii="Arial" w:hAnsi="Arial" w:cs="Arial"/>
          <w:sz w:val="20"/>
          <w:szCs w:val="20"/>
          <w:lang w:eastAsia="en-US"/>
        </w:rPr>
        <w:br/>
      </w:r>
      <w:r w:rsidRPr="00E52281">
        <w:rPr>
          <w:rFonts w:ascii="Arial" w:hAnsi="Arial" w:cs="Arial"/>
          <w:sz w:val="20"/>
          <w:szCs w:val="20"/>
          <w:lang w:eastAsia="en-US"/>
        </w:rPr>
        <w:t>o</w:t>
      </w:r>
      <w:r w:rsidR="002F58B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 xml:space="preserve">dofinansowanie podjęły pracę po przerwie spowodowanej sprawowaniem opieki nad </w:t>
      </w:r>
      <w:r w:rsidR="00A45B5F" w:rsidRPr="00E52281">
        <w:rPr>
          <w:rFonts w:ascii="Arial" w:hAnsi="Arial" w:cs="Arial"/>
          <w:sz w:val="20"/>
          <w:szCs w:val="20"/>
          <w:lang w:eastAsia="en-US"/>
        </w:rPr>
        <w:t xml:space="preserve"> d</w:t>
      </w:r>
      <w:r w:rsidRPr="00E52281">
        <w:rPr>
          <w:rFonts w:ascii="Arial" w:hAnsi="Arial" w:cs="Arial"/>
          <w:sz w:val="20"/>
          <w:szCs w:val="20"/>
          <w:lang w:eastAsia="en-US"/>
        </w:rPr>
        <w:t>zieckiem lub osobą</w:t>
      </w:r>
      <w:r w:rsidR="00A45B5F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zależną.</w:t>
      </w:r>
    </w:p>
    <w:p w14:paraId="56D240BD" w14:textId="3AF29333" w:rsidR="00943E34" w:rsidRPr="00E52281" w:rsidRDefault="00943E34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E52281">
        <w:rPr>
          <w:rFonts w:ascii="Arial" w:hAnsi="Arial" w:cs="Arial"/>
          <w:sz w:val="20"/>
          <w:szCs w:val="20"/>
          <w:lang w:eastAsia="en-US"/>
        </w:rPr>
        <w:t>Dostępność do priorytetu nie jest warunkowana powodem przerwy w pracy. Nie ma również znaczenia</w:t>
      </w:r>
      <w:r w:rsidR="00A45B5F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długość przerwy w pracy jak również to, czy jest to powrót do pracodawcy sprzed przerwy czy zatrudnienie</w:t>
      </w:r>
      <w:r w:rsidR="00A45B5F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u nowego pracodawcy.</w:t>
      </w:r>
    </w:p>
    <w:p w14:paraId="23F1353C" w14:textId="1EF720B5" w:rsidR="00943E34" w:rsidRPr="00E52281" w:rsidRDefault="00943E34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E52281">
        <w:rPr>
          <w:rFonts w:ascii="Arial" w:hAnsi="Arial" w:cs="Arial"/>
          <w:sz w:val="20"/>
          <w:szCs w:val="20"/>
          <w:lang w:eastAsia="en-US"/>
        </w:rPr>
        <w:t>Wnioskodawca powinien do wniosku dołączyć oświadczenie, że potencjalny uczestnik szkolenia spełnia</w:t>
      </w:r>
      <w:r w:rsidR="00A45B5F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warunki dostępu do priorytetu bez szczegółowych informacji mogących zostać uznane za dane wrażliwe np.</w:t>
      </w:r>
      <w:r w:rsidR="00A45B5F" w:rsidRPr="00E5228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sz w:val="20"/>
          <w:szCs w:val="20"/>
          <w:lang w:eastAsia="en-US"/>
        </w:rPr>
        <w:t>powody pozostawania bez pracy.</w:t>
      </w:r>
    </w:p>
    <w:p w14:paraId="48F9FF7F" w14:textId="77777777" w:rsidR="00A45B5F" w:rsidRDefault="00A45B5F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35EBD684" w14:textId="77777777" w:rsidR="0081217F" w:rsidRPr="00E52281" w:rsidRDefault="0081217F" w:rsidP="00E5228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3DE5F63F" w14:textId="5ED0B245" w:rsidR="00943E34" w:rsidRDefault="00943E34" w:rsidP="00E52281">
      <w:pPr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E52281">
        <w:rPr>
          <w:rFonts w:ascii="Arial" w:hAnsi="Arial" w:cs="Arial"/>
          <w:b/>
          <w:bCs/>
          <w:sz w:val="20"/>
          <w:szCs w:val="20"/>
          <w:lang w:eastAsia="en-US"/>
        </w:rPr>
        <w:t>Priorytet 3</w:t>
      </w:r>
      <w:r w:rsidR="00A45B5F" w:rsidRPr="00E52281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="001E6F25">
        <w:rPr>
          <w:rFonts w:ascii="Arial" w:hAnsi="Arial" w:cs="Arial"/>
          <w:b/>
          <w:bCs/>
          <w:sz w:val="20"/>
          <w:szCs w:val="20"/>
          <w:lang w:eastAsia="en-US"/>
        </w:rPr>
        <w:t>–</w:t>
      </w:r>
      <w:r w:rsidR="00A45B5F" w:rsidRPr="00E52281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b/>
          <w:bCs/>
          <w:sz w:val="20"/>
          <w:szCs w:val="20"/>
          <w:lang w:eastAsia="en-US"/>
        </w:rPr>
        <w:t xml:space="preserve">Wsparcie w branżach kluczowych dla rozwoju powiatu/województwa wskazanych </w:t>
      </w:r>
      <w:r w:rsidR="00E52281">
        <w:rPr>
          <w:rFonts w:ascii="Arial" w:hAnsi="Arial" w:cs="Arial"/>
          <w:b/>
          <w:bCs/>
          <w:sz w:val="20"/>
          <w:szCs w:val="20"/>
          <w:lang w:eastAsia="en-US"/>
        </w:rPr>
        <w:br/>
      </w:r>
      <w:r w:rsidRPr="00E52281">
        <w:rPr>
          <w:rFonts w:ascii="Arial" w:hAnsi="Arial" w:cs="Arial"/>
          <w:b/>
          <w:bCs/>
          <w:sz w:val="20"/>
          <w:szCs w:val="20"/>
          <w:lang w:eastAsia="en-US"/>
        </w:rPr>
        <w:t>w dokumentach</w:t>
      </w:r>
      <w:r w:rsidR="00A45B5F" w:rsidRPr="00E52281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E52281">
        <w:rPr>
          <w:rFonts w:ascii="Arial" w:hAnsi="Arial" w:cs="Arial"/>
          <w:b/>
          <w:bCs/>
          <w:sz w:val="20"/>
          <w:szCs w:val="20"/>
          <w:lang w:eastAsia="en-US"/>
        </w:rPr>
        <w:t>strategicznych/planach rozwoju</w:t>
      </w:r>
      <w:r w:rsidR="00E52281">
        <w:rPr>
          <w:rFonts w:ascii="Arial" w:hAnsi="Arial" w:cs="Arial"/>
          <w:b/>
          <w:bCs/>
          <w:sz w:val="20"/>
          <w:szCs w:val="20"/>
          <w:lang w:eastAsia="en-US"/>
        </w:rPr>
        <w:t>.</w:t>
      </w:r>
    </w:p>
    <w:p w14:paraId="6A6AF33B" w14:textId="77777777" w:rsidR="00E52281" w:rsidRPr="0081217F" w:rsidRDefault="00E52281" w:rsidP="00E52281">
      <w:pPr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539A794A" w14:textId="77777777" w:rsidR="0081217F" w:rsidRDefault="0081217F" w:rsidP="0081217F">
      <w:pPr>
        <w:jc w:val="both"/>
      </w:pPr>
      <w:r w:rsidRPr="0081217F">
        <w:t xml:space="preserve">Wnioskodawca, który chce spełnić wymagania tego priorytetu powinien udowodnić, że wskazana forma kształcenia ustawicznego dotyczy obszaru istotnego dla rozwoju powiatu lubańskiego. Przy wyborze obszarów/branż Urząd Pracy brał pod uwagę „Strategię Rozwoju Powiatu Lubańskiego do roku 2030” dostępną na stronie internetowej  </w:t>
      </w:r>
      <w:hyperlink r:id="rId7" w:history="1">
        <w:r w:rsidRPr="003F1453">
          <w:rPr>
            <w:rStyle w:val="Hipercze"/>
          </w:rPr>
          <w:t>https://bip.powiatluban.pl/spluban,a,22986,strategia-rozwoju-powiatu-lubanskiego-do-roku-2030.html</w:t>
        </w:r>
      </w:hyperlink>
      <w:r>
        <w:t xml:space="preserve"> </w:t>
      </w:r>
    </w:p>
    <w:p w14:paraId="682BFA53" w14:textId="77777777" w:rsidR="0081217F" w:rsidRDefault="0081217F" w:rsidP="0081217F">
      <w:pPr>
        <w:jc w:val="both"/>
        <w:rPr>
          <w:sz w:val="18"/>
          <w:szCs w:val="18"/>
        </w:rPr>
      </w:pPr>
    </w:p>
    <w:p w14:paraId="6B8D7AFC" w14:textId="77777777" w:rsidR="0081217F" w:rsidRDefault="0081217F" w:rsidP="0081217F">
      <w:pPr>
        <w:jc w:val="both"/>
        <w:rPr>
          <w:sz w:val="18"/>
          <w:szCs w:val="18"/>
        </w:rPr>
      </w:pPr>
    </w:p>
    <w:p w14:paraId="6DB0DB27" w14:textId="77777777" w:rsidR="0081217F" w:rsidRDefault="0081217F" w:rsidP="0081217F">
      <w:pPr>
        <w:jc w:val="both"/>
        <w:rPr>
          <w:sz w:val="18"/>
          <w:szCs w:val="18"/>
        </w:rPr>
      </w:pPr>
    </w:p>
    <w:p w14:paraId="53521C0C" w14:textId="77777777" w:rsidR="0081217F" w:rsidRDefault="0081217F" w:rsidP="0081217F">
      <w:pPr>
        <w:jc w:val="both"/>
        <w:rPr>
          <w:sz w:val="18"/>
          <w:szCs w:val="18"/>
        </w:rPr>
      </w:pPr>
    </w:p>
    <w:p w14:paraId="0DACB7FB" w14:textId="77777777" w:rsidR="0081217F" w:rsidRDefault="0081217F" w:rsidP="0081217F">
      <w:pPr>
        <w:jc w:val="both"/>
        <w:rPr>
          <w:sz w:val="18"/>
          <w:szCs w:val="18"/>
        </w:rPr>
      </w:pPr>
    </w:p>
    <w:p w14:paraId="40599DA8" w14:textId="77777777" w:rsidR="0081217F" w:rsidRDefault="0081217F" w:rsidP="0081217F">
      <w:pPr>
        <w:jc w:val="both"/>
        <w:rPr>
          <w:sz w:val="18"/>
          <w:szCs w:val="18"/>
        </w:rPr>
      </w:pPr>
    </w:p>
    <w:p w14:paraId="6FA34A1F" w14:textId="77777777" w:rsidR="0081217F" w:rsidRDefault="0081217F" w:rsidP="0081217F">
      <w:pPr>
        <w:jc w:val="both"/>
        <w:rPr>
          <w:sz w:val="18"/>
          <w:szCs w:val="18"/>
        </w:rPr>
      </w:pPr>
    </w:p>
    <w:p w14:paraId="763C3BAC" w14:textId="77777777" w:rsidR="0081217F" w:rsidRDefault="0081217F" w:rsidP="0081217F">
      <w:pPr>
        <w:jc w:val="both"/>
        <w:rPr>
          <w:sz w:val="18"/>
          <w:szCs w:val="18"/>
        </w:rPr>
      </w:pPr>
    </w:p>
    <w:p w14:paraId="09ABA796" w14:textId="77777777" w:rsidR="0081217F" w:rsidRPr="003631D4" w:rsidRDefault="0081217F" w:rsidP="0081217F">
      <w:pPr>
        <w:jc w:val="both"/>
        <w:rPr>
          <w:sz w:val="18"/>
          <w:szCs w:val="18"/>
        </w:rPr>
      </w:pPr>
    </w:p>
    <w:p w14:paraId="7A2F3850" w14:textId="1948CB7C" w:rsidR="0081217F" w:rsidRDefault="0081217F" w:rsidP="0081217F">
      <w:pPr>
        <w:jc w:val="both"/>
        <w:rPr>
          <w:rFonts w:ascii="Arial" w:hAnsi="Arial" w:cs="Arial"/>
          <w:sz w:val="20"/>
          <w:szCs w:val="20"/>
        </w:rPr>
      </w:pPr>
      <w:r w:rsidRPr="0081217F">
        <w:rPr>
          <w:rFonts w:ascii="Arial" w:hAnsi="Arial" w:cs="Arial"/>
          <w:sz w:val="20"/>
          <w:szCs w:val="20"/>
        </w:rPr>
        <w:lastRenderedPageBreak/>
        <w:t xml:space="preserve">Jako obszary/branże istotne dla rozwoju powiatu lubańskiego Powiatowy Urząd Pracy </w:t>
      </w:r>
      <w:r w:rsidRPr="0081217F">
        <w:rPr>
          <w:rFonts w:ascii="Arial" w:hAnsi="Arial" w:cs="Arial"/>
          <w:sz w:val="20"/>
          <w:szCs w:val="20"/>
        </w:rPr>
        <w:br/>
        <w:t xml:space="preserve">w Lubaniu wskazuje: </w:t>
      </w:r>
    </w:p>
    <w:p w14:paraId="6293B129" w14:textId="77777777" w:rsidR="0081217F" w:rsidRPr="0081217F" w:rsidRDefault="0081217F" w:rsidP="0081217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4"/>
        <w:gridCol w:w="3256"/>
        <w:gridCol w:w="3252"/>
      </w:tblGrid>
      <w:tr w:rsidR="0081217F" w:rsidRPr="0081217F" w14:paraId="5FFFA435" w14:textId="77777777" w:rsidTr="00986F65">
        <w:trPr>
          <w:trHeight w:val="478"/>
          <w:jc w:val="center"/>
        </w:trPr>
        <w:tc>
          <w:tcPr>
            <w:tcW w:w="2554" w:type="dxa"/>
            <w:vMerge w:val="restart"/>
            <w:vAlign w:val="center"/>
          </w:tcPr>
          <w:p w14:paraId="00904010" w14:textId="77777777" w:rsidR="0081217F" w:rsidRPr="0081217F" w:rsidRDefault="0081217F" w:rsidP="00986F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217F">
              <w:rPr>
                <w:rFonts w:ascii="Arial" w:hAnsi="Arial" w:cs="Arial"/>
                <w:b/>
                <w:bCs/>
                <w:sz w:val="20"/>
                <w:szCs w:val="20"/>
              </w:rPr>
              <w:t>Obszar / branża</w:t>
            </w:r>
          </w:p>
        </w:tc>
        <w:tc>
          <w:tcPr>
            <w:tcW w:w="6508" w:type="dxa"/>
            <w:gridSpan w:val="2"/>
            <w:vAlign w:val="center"/>
          </w:tcPr>
          <w:p w14:paraId="38F667FA" w14:textId="77777777" w:rsidR="0081217F" w:rsidRPr="0081217F" w:rsidRDefault="0081217F" w:rsidP="00986F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217F">
              <w:rPr>
                <w:rFonts w:ascii="Arial" w:hAnsi="Arial" w:cs="Arial"/>
                <w:b/>
                <w:bCs/>
                <w:sz w:val="20"/>
                <w:szCs w:val="20"/>
              </w:rPr>
              <w:t>PKD (przeważające) Wnioskodawcy</w:t>
            </w:r>
          </w:p>
        </w:tc>
      </w:tr>
      <w:tr w:rsidR="0081217F" w:rsidRPr="0081217F" w14:paraId="6434FF11" w14:textId="77777777" w:rsidTr="00986F65">
        <w:trPr>
          <w:jc w:val="center"/>
        </w:trPr>
        <w:tc>
          <w:tcPr>
            <w:tcW w:w="2554" w:type="dxa"/>
            <w:vMerge/>
            <w:vAlign w:val="center"/>
          </w:tcPr>
          <w:p w14:paraId="6D4B6802" w14:textId="77777777" w:rsidR="0081217F" w:rsidRPr="0081217F" w:rsidRDefault="0081217F" w:rsidP="00986F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6" w:type="dxa"/>
            <w:vAlign w:val="center"/>
          </w:tcPr>
          <w:p w14:paraId="00E1FE01" w14:textId="77777777" w:rsidR="0081217F" w:rsidRPr="0081217F" w:rsidRDefault="0081217F" w:rsidP="00986F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217F">
              <w:rPr>
                <w:rFonts w:ascii="Arial" w:hAnsi="Arial" w:cs="Arial"/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3252" w:type="dxa"/>
          </w:tcPr>
          <w:p w14:paraId="78DA27C7" w14:textId="77777777" w:rsidR="0081217F" w:rsidRPr="0081217F" w:rsidRDefault="0081217F" w:rsidP="00986F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217F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</w:tr>
      <w:tr w:rsidR="0081217F" w:rsidRPr="0081217F" w14:paraId="52753935" w14:textId="77777777" w:rsidTr="00986F65">
        <w:trPr>
          <w:jc w:val="center"/>
        </w:trPr>
        <w:tc>
          <w:tcPr>
            <w:tcW w:w="2554" w:type="dxa"/>
          </w:tcPr>
          <w:p w14:paraId="602A2BA1" w14:textId="77777777" w:rsidR="0081217F" w:rsidRPr="0081217F" w:rsidRDefault="0081217F" w:rsidP="00986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7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Turystyka, hotelarstwo, gastronomia, agroturystyka</w:t>
            </w:r>
          </w:p>
        </w:tc>
        <w:tc>
          <w:tcPr>
            <w:tcW w:w="3256" w:type="dxa"/>
          </w:tcPr>
          <w:p w14:paraId="4CD8B460" w14:textId="77777777" w:rsidR="0081217F" w:rsidRPr="0081217F" w:rsidRDefault="0081217F" w:rsidP="00986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7F">
              <w:rPr>
                <w:rFonts w:ascii="Arial" w:hAnsi="Arial" w:cs="Arial"/>
                <w:sz w:val="20"/>
                <w:szCs w:val="20"/>
              </w:rPr>
              <w:t>Sekcja I Dział 55 od 55.1 do 55.3</w:t>
            </w:r>
          </w:p>
          <w:p w14:paraId="308CAE81" w14:textId="77777777" w:rsidR="0081217F" w:rsidRPr="0081217F" w:rsidRDefault="0081217F" w:rsidP="00986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7F">
              <w:rPr>
                <w:rFonts w:ascii="Arial" w:hAnsi="Arial" w:cs="Arial"/>
                <w:sz w:val="20"/>
                <w:szCs w:val="20"/>
              </w:rPr>
              <w:t>Oraz 55.9</w:t>
            </w:r>
          </w:p>
          <w:p w14:paraId="200F465C" w14:textId="77777777" w:rsidR="0081217F" w:rsidRPr="0081217F" w:rsidRDefault="0081217F" w:rsidP="00986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7F">
              <w:rPr>
                <w:rFonts w:ascii="Arial" w:hAnsi="Arial" w:cs="Arial"/>
                <w:sz w:val="20"/>
                <w:szCs w:val="20"/>
              </w:rPr>
              <w:t>Sekcja I Dział 56 od 56.1 do 56.3</w:t>
            </w:r>
          </w:p>
        </w:tc>
        <w:tc>
          <w:tcPr>
            <w:tcW w:w="3252" w:type="dxa"/>
          </w:tcPr>
          <w:p w14:paraId="050AF372" w14:textId="77777777" w:rsidR="0081217F" w:rsidRPr="0081217F" w:rsidRDefault="0081217F" w:rsidP="00986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7F">
              <w:rPr>
                <w:rFonts w:ascii="Arial" w:hAnsi="Arial" w:cs="Arial"/>
                <w:sz w:val="20"/>
                <w:szCs w:val="20"/>
              </w:rPr>
              <w:t>Sekcja I Dział 55 od 55.1 do 55.3</w:t>
            </w:r>
          </w:p>
          <w:p w14:paraId="1029FC7D" w14:textId="77777777" w:rsidR="0081217F" w:rsidRPr="0081217F" w:rsidRDefault="0081217F" w:rsidP="00986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7F">
              <w:rPr>
                <w:rFonts w:ascii="Arial" w:hAnsi="Arial" w:cs="Arial"/>
                <w:sz w:val="20"/>
                <w:szCs w:val="20"/>
              </w:rPr>
              <w:t>Oraz 55.9</w:t>
            </w:r>
          </w:p>
          <w:p w14:paraId="35C7F0FF" w14:textId="77777777" w:rsidR="0081217F" w:rsidRPr="0081217F" w:rsidRDefault="0081217F" w:rsidP="00986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7F">
              <w:rPr>
                <w:rFonts w:ascii="Arial" w:hAnsi="Arial" w:cs="Arial"/>
                <w:sz w:val="20"/>
                <w:szCs w:val="20"/>
              </w:rPr>
              <w:t>Sekcja I Dział 56 od 56.1 do 56.3</w:t>
            </w:r>
          </w:p>
        </w:tc>
      </w:tr>
      <w:tr w:rsidR="0081217F" w:rsidRPr="0081217F" w14:paraId="584D6D81" w14:textId="77777777" w:rsidTr="00986F65">
        <w:trPr>
          <w:jc w:val="center"/>
        </w:trPr>
        <w:tc>
          <w:tcPr>
            <w:tcW w:w="2554" w:type="dxa"/>
          </w:tcPr>
          <w:p w14:paraId="76208689" w14:textId="77777777" w:rsidR="0081217F" w:rsidRPr="0081217F" w:rsidRDefault="0081217F" w:rsidP="00986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7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Zdrowie i lecznictwo uzdrowiskowe</w:t>
            </w:r>
          </w:p>
        </w:tc>
        <w:tc>
          <w:tcPr>
            <w:tcW w:w="3256" w:type="dxa"/>
          </w:tcPr>
          <w:p w14:paraId="58D61F44" w14:textId="77777777" w:rsidR="0081217F" w:rsidRPr="0081217F" w:rsidRDefault="0081217F" w:rsidP="00986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7F">
              <w:rPr>
                <w:rFonts w:ascii="Arial" w:hAnsi="Arial" w:cs="Arial"/>
                <w:sz w:val="20"/>
                <w:szCs w:val="20"/>
              </w:rPr>
              <w:t>Sekcja Q od 86.1 do 86.2 oraz 86.90.A, B, E</w:t>
            </w:r>
          </w:p>
        </w:tc>
        <w:tc>
          <w:tcPr>
            <w:tcW w:w="3252" w:type="dxa"/>
          </w:tcPr>
          <w:p w14:paraId="297A6A51" w14:textId="77777777" w:rsidR="0081217F" w:rsidRPr="0081217F" w:rsidRDefault="0081217F" w:rsidP="00986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7F">
              <w:rPr>
                <w:rFonts w:ascii="Arial" w:hAnsi="Arial" w:cs="Arial"/>
                <w:sz w:val="20"/>
                <w:szCs w:val="20"/>
              </w:rPr>
              <w:t>Sekcja Q dział od 86.1 do 81.</w:t>
            </w:r>
            <w:proofErr w:type="gramStart"/>
            <w:r w:rsidRPr="0081217F">
              <w:rPr>
                <w:rFonts w:ascii="Arial" w:hAnsi="Arial" w:cs="Arial"/>
                <w:sz w:val="20"/>
                <w:szCs w:val="20"/>
              </w:rPr>
              <w:t>2,</w:t>
            </w:r>
            <w:proofErr w:type="gramEnd"/>
            <w:r w:rsidRPr="0081217F">
              <w:rPr>
                <w:rFonts w:ascii="Arial" w:hAnsi="Arial" w:cs="Arial"/>
                <w:sz w:val="20"/>
                <w:szCs w:val="20"/>
              </w:rPr>
              <w:t xml:space="preserve"> oraz 86.91.A-B oraz 86.95.Z i 86.99.D</w:t>
            </w:r>
          </w:p>
        </w:tc>
      </w:tr>
      <w:tr w:rsidR="0081217F" w:rsidRPr="0081217F" w14:paraId="2D662EC3" w14:textId="77777777" w:rsidTr="00986F65">
        <w:trPr>
          <w:jc w:val="center"/>
        </w:trPr>
        <w:tc>
          <w:tcPr>
            <w:tcW w:w="2554" w:type="dxa"/>
          </w:tcPr>
          <w:p w14:paraId="2D6EE407" w14:textId="77777777" w:rsidR="0081217F" w:rsidRPr="0081217F" w:rsidRDefault="0081217F" w:rsidP="00986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7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Edukacja</w:t>
            </w:r>
          </w:p>
        </w:tc>
        <w:tc>
          <w:tcPr>
            <w:tcW w:w="3256" w:type="dxa"/>
          </w:tcPr>
          <w:p w14:paraId="122EA52E" w14:textId="77777777" w:rsidR="0081217F" w:rsidRPr="0081217F" w:rsidRDefault="0081217F" w:rsidP="00986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7F">
              <w:rPr>
                <w:rFonts w:ascii="Arial" w:hAnsi="Arial" w:cs="Arial"/>
                <w:sz w:val="20"/>
                <w:szCs w:val="20"/>
              </w:rPr>
              <w:t xml:space="preserve">Sekcja P dział 85 </w:t>
            </w:r>
          </w:p>
        </w:tc>
        <w:tc>
          <w:tcPr>
            <w:tcW w:w="3252" w:type="dxa"/>
          </w:tcPr>
          <w:p w14:paraId="228397E0" w14:textId="77777777" w:rsidR="0081217F" w:rsidRPr="0081217F" w:rsidRDefault="0081217F" w:rsidP="00986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7F">
              <w:rPr>
                <w:rFonts w:ascii="Arial" w:hAnsi="Arial" w:cs="Arial"/>
                <w:sz w:val="20"/>
                <w:szCs w:val="20"/>
              </w:rPr>
              <w:t>Sekcja Q dział 85</w:t>
            </w:r>
          </w:p>
        </w:tc>
      </w:tr>
      <w:tr w:rsidR="0081217F" w:rsidRPr="0081217F" w14:paraId="0B0E8336" w14:textId="77777777" w:rsidTr="00986F65">
        <w:trPr>
          <w:jc w:val="center"/>
        </w:trPr>
        <w:tc>
          <w:tcPr>
            <w:tcW w:w="2554" w:type="dxa"/>
          </w:tcPr>
          <w:p w14:paraId="441CC622" w14:textId="77777777" w:rsidR="0081217F" w:rsidRPr="0081217F" w:rsidRDefault="0081217F" w:rsidP="00986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7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Ekologia i ochrona środowiska</w:t>
            </w:r>
          </w:p>
        </w:tc>
        <w:tc>
          <w:tcPr>
            <w:tcW w:w="6508" w:type="dxa"/>
            <w:gridSpan w:val="2"/>
          </w:tcPr>
          <w:p w14:paraId="1EE9D148" w14:textId="77777777" w:rsidR="0081217F" w:rsidRPr="0081217F" w:rsidRDefault="0081217F" w:rsidP="00986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7F">
              <w:rPr>
                <w:rFonts w:ascii="Arial" w:hAnsi="Arial" w:cs="Arial"/>
                <w:sz w:val="20"/>
                <w:szCs w:val="20"/>
              </w:rPr>
              <w:t>Nie dotyczy*</w:t>
            </w:r>
          </w:p>
        </w:tc>
      </w:tr>
    </w:tbl>
    <w:p w14:paraId="46CC701B" w14:textId="77777777" w:rsidR="0081217F" w:rsidRPr="0081217F" w:rsidRDefault="0081217F" w:rsidP="0081217F">
      <w:pPr>
        <w:pStyle w:val="Akapitzlist"/>
        <w:ind w:left="142" w:hanging="142"/>
        <w:jc w:val="both"/>
        <w:rPr>
          <w:rFonts w:ascii="Arial" w:hAnsi="Arial" w:cs="Arial"/>
          <w:i/>
          <w:iCs/>
          <w:sz w:val="20"/>
          <w:szCs w:val="20"/>
        </w:rPr>
      </w:pPr>
      <w:r w:rsidRPr="0081217F">
        <w:rPr>
          <w:rFonts w:ascii="Arial" w:hAnsi="Arial" w:cs="Arial"/>
          <w:sz w:val="20"/>
          <w:szCs w:val="20"/>
        </w:rPr>
        <w:t>*</w:t>
      </w:r>
      <w:r w:rsidRPr="0081217F">
        <w:rPr>
          <w:rFonts w:ascii="Arial" w:hAnsi="Arial" w:cs="Arial"/>
          <w:i/>
          <w:iCs/>
          <w:sz w:val="20"/>
          <w:szCs w:val="20"/>
        </w:rPr>
        <w:t>W trakcie rozpatrywania wniosku pod uwagę będzie brany program kształcenia oraz uzasadnienie Wnioskodawcy we wniosku</w:t>
      </w:r>
    </w:p>
    <w:p w14:paraId="7368A012" w14:textId="77777777" w:rsidR="0081217F" w:rsidRPr="0081217F" w:rsidRDefault="0081217F" w:rsidP="0081217F">
      <w:pPr>
        <w:pStyle w:val="Akapitzlist"/>
        <w:ind w:left="142" w:hanging="142"/>
        <w:jc w:val="both"/>
        <w:rPr>
          <w:rFonts w:ascii="Arial" w:hAnsi="Arial" w:cs="Arial"/>
          <w:i/>
          <w:iCs/>
          <w:sz w:val="20"/>
          <w:szCs w:val="20"/>
        </w:rPr>
      </w:pPr>
    </w:p>
    <w:p w14:paraId="2BF58C35" w14:textId="77777777" w:rsidR="0081217F" w:rsidRPr="0081217F" w:rsidRDefault="0081217F" w:rsidP="0081217F">
      <w:pPr>
        <w:jc w:val="both"/>
        <w:rPr>
          <w:rFonts w:ascii="Arial" w:hAnsi="Arial" w:cs="Arial"/>
          <w:sz w:val="20"/>
          <w:szCs w:val="20"/>
        </w:rPr>
      </w:pPr>
      <w:r w:rsidRPr="0081217F">
        <w:rPr>
          <w:rFonts w:ascii="Arial" w:hAnsi="Arial" w:cs="Arial"/>
          <w:sz w:val="20"/>
          <w:szCs w:val="20"/>
        </w:rPr>
        <w:t>Warunkiem dostępu do niniejszego priorytetu jest posiadanie jako przeważającego (według stanu na 1 stycznia 2026 lub/oraz na dzień złożenia wniosku) odpowiedniego kodu PKD oraz zawarte we wniosku o dofinansowanie wiarygodne uzasadnienie konieczności nabycia nowych umiejętności powiązanych ze wskazaną branżą/obszarem.</w:t>
      </w:r>
    </w:p>
    <w:p w14:paraId="64419919" w14:textId="77777777" w:rsidR="003406D6" w:rsidRPr="0081217F" w:rsidRDefault="003406D6" w:rsidP="00A65A46">
      <w:pPr>
        <w:jc w:val="both"/>
        <w:rPr>
          <w:rFonts w:ascii="Arial" w:hAnsi="Arial" w:cs="Arial"/>
          <w:b/>
          <w:bCs/>
          <w:color w:val="EE0000"/>
          <w:sz w:val="20"/>
          <w:szCs w:val="20"/>
          <w:lang w:eastAsia="en-US"/>
        </w:rPr>
      </w:pPr>
    </w:p>
    <w:p w14:paraId="5E98F832" w14:textId="77777777" w:rsidR="003406D6" w:rsidRPr="00D9615F" w:rsidRDefault="003406D6" w:rsidP="00A65A46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D9615F">
        <w:rPr>
          <w:rFonts w:ascii="Arial" w:hAnsi="Arial" w:cs="Arial"/>
          <w:sz w:val="20"/>
          <w:szCs w:val="20"/>
          <w:lang w:eastAsia="en-US"/>
        </w:rPr>
        <w:t xml:space="preserve">Strategia Rozwoju Powiatu Lubańskiego do roku 2030: </w:t>
      </w:r>
    </w:p>
    <w:p w14:paraId="15024DF2" w14:textId="2D7675B3" w:rsidR="003406D6" w:rsidRPr="00D9615F" w:rsidRDefault="003406D6" w:rsidP="00A65A46">
      <w:pPr>
        <w:jc w:val="both"/>
        <w:rPr>
          <w:rFonts w:ascii="Arial" w:hAnsi="Arial" w:cs="Arial"/>
          <w:sz w:val="20"/>
          <w:szCs w:val="20"/>
          <w:lang w:eastAsia="en-US"/>
        </w:rPr>
      </w:pPr>
      <w:hyperlink r:id="rId8" w:history="1">
        <w:r w:rsidRPr="00D9615F">
          <w:rPr>
            <w:rStyle w:val="Hipercze"/>
            <w:rFonts w:ascii="Arial" w:hAnsi="Arial" w:cs="Arial"/>
            <w:color w:val="auto"/>
            <w:sz w:val="20"/>
            <w:szCs w:val="20"/>
            <w:lang w:eastAsia="en-US"/>
          </w:rPr>
          <w:t>https://bip.powiatluban.pl/spluban,a,22986,strategia-rozwoju-powiatu-lubanskiego-do-roku-2030.html</w:t>
        </w:r>
      </w:hyperlink>
    </w:p>
    <w:p w14:paraId="7D54F7EA" w14:textId="77777777" w:rsidR="003406D6" w:rsidRPr="003406D6" w:rsidRDefault="003406D6" w:rsidP="00A65A46">
      <w:pPr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345502AB" w14:textId="77777777" w:rsidR="00330FAD" w:rsidRDefault="00330FAD" w:rsidP="00E52281">
      <w:pPr>
        <w:jc w:val="both"/>
        <w:rPr>
          <w:rFonts w:ascii="Arial" w:hAnsi="Arial" w:cs="Arial"/>
          <w:b/>
          <w:bCs/>
          <w:color w:val="0A0A0A"/>
          <w:sz w:val="20"/>
          <w:szCs w:val="20"/>
        </w:rPr>
      </w:pPr>
    </w:p>
    <w:p w14:paraId="51274AEC" w14:textId="77777777" w:rsidR="00171A4D" w:rsidRPr="00E52281" w:rsidRDefault="00171A4D" w:rsidP="00E52281">
      <w:pPr>
        <w:jc w:val="both"/>
        <w:rPr>
          <w:rFonts w:ascii="Arial" w:hAnsi="Arial" w:cs="Arial"/>
          <w:b/>
          <w:bCs/>
          <w:color w:val="0A0A0A"/>
          <w:sz w:val="20"/>
          <w:szCs w:val="20"/>
        </w:rPr>
      </w:pPr>
    </w:p>
    <w:p w14:paraId="1613C6F0" w14:textId="32D5D330" w:rsidR="00C90674" w:rsidRPr="00C90674" w:rsidRDefault="00C90674" w:rsidP="00230105">
      <w:pPr>
        <w:pStyle w:val="Akapitzlist"/>
        <w:numPr>
          <w:ilvl w:val="0"/>
          <w:numId w:val="9"/>
        </w:numPr>
        <w:ind w:left="142" w:hanging="142"/>
        <w:jc w:val="both"/>
        <w:rPr>
          <w:rFonts w:ascii="Arial" w:hAnsi="Arial" w:cs="Arial"/>
          <w:sz w:val="20"/>
          <w:szCs w:val="20"/>
          <w:lang w:eastAsia="en-US"/>
        </w:rPr>
      </w:pPr>
      <w:r w:rsidRPr="00E52281">
        <w:rPr>
          <w:rFonts w:ascii="Arial" w:hAnsi="Arial" w:cs="Arial"/>
          <w:b/>
          <w:bCs/>
          <w:color w:val="0070C0"/>
          <w:sz w:val="20"/>
          <w:szCs w:val="20"/>
        </w:rPr>
        <w:t>Priorytet</w:t>
      </w: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powiatowy wskazany przez Powiatowy Urząd Pracy w Lubaniu i zaopiniowany przez Powiatową Radę Rynku Pracy</w:t>
      </w:r>
    </w:p>
    <w:p w14:paraId="17E477D5" w14:textId="77777777" w:rsidR="002F58B4" w:rsidRDefault="002F58B4" w:rsidP="00E52281">
      <w:pPr>
        <w:jc w:val="both"/>
        <w:rPr>
          <w:rFonts w:ascii="Arial" w:hAnsi="Arial" w:cs="Arial"/>
          <w:b/>
          <w:bCs/>
          <w:color w:val="0A0A0A"/>
          <w:sz w:val="20"/>
          <w:szCs w:val="20"/>
        </w:rPr>
      </w:pPr>
    </w:p>
    <w:p w14:paraId="3C542E31" w14:textId="3F616ECD" w:rsidR="00330FAD" w:rsidRDefault="00C90674" w:rsidP="00E52281">
      <w:pPr>
        <w:jc w:val="both"/>
        <w:rPr>
          <w:rFonts w:ascii="Arial" w:hAnsi="Arial" w:cs="Arial"/>
          <w:b/>
          <w:bCs/>
          <w:color w:val="0A0A0A"/>
          <w:sz w:val="20"/>
          <w:szCs w:val="20"/>
        </w:rPr>
      </w:pPr>
      <w:r>
        <w:rPr>
          <w:rFonts w:ascii="Arial" w:hAnsi="Arial" w:cs="Arial"/>
          <w:b/>
          <w:bCs/>
          <w:color w:val="0A0A0A"/>
          <w:sz w:val="20"/>
          <w:szCs w:val="20"/>
        </w:rPr>
        <w:t xml:space="preserve">Wsparcie kształcenia </w:t>
      </w:r>
      <w:r w:rsidR="002F58B4">
        <w:rPr>
          <w:rFonts w:ascii="Arial" w:hAnsi="Arial" w:cs="Arial"/>
          <w:b/>
          <w:bCs/>
          <w:color w:val="0A0A0A"/>
          <w:sz w:val="20"/>
          <w:szCs w:val="20"/>
        </w:rPr>
        <w:t>ustawicznego nowozatrudnionych pracowników (do 6 m-cy od daty zatrudnienia).</w:t>
      </w:r>
    </w:p>
    <w:p w14:paraId="2F69E3CC" w14:textId="77777777" w:rsidR="00230105" w:rsidRDefault="00230105" w:rsidP="00E52281">
      <w:pPr>
        <w:jc w:val="both"/>
        <w:rPr>
          <w:rFonts w:ascii="Arial" w:hAnsi="Arial" w:cs="Arial"/>
          <w:b/>
          <w:bCs/>
          <w:color w:val="0A0A0A"/>
          <w:sz w:val="20"/>
          <w:szCs w:val="20"/>
        </w:rPr>
      </w:pPr>
    </w:p>
    <w:p w14:paraId="7E8B19D5" w14:textId="12466EAD" w:rsidR="008345FD" w:rsidRPr="00844459" w:rsidRDefault="008345FD" w:rsidP="00E52281">
      <w:pPr>
        <w:jc w:val="both"/>
        <w:rPr>
          <w:rFonts w:ascii="Arial" w:hAnsi="Arial" w:cs="Arial"/>
          <w:color w:val="0A0A0A"/>
          <w:sz w:val="20"/>
          <w:szCs w:val="20"/>
        </w:rPr>
      </w:pPr>
      <w:r w:rsidRPr="00844459">
        <w:rPr>
          <w:rFonts w:ascii="Arial" w:hAnsi="Arial" w:cs="Arial"/>
          <w:color w:val="0A0A0A"/>
          <w:sz w:val="20"/>
          <w:szCs w:val="20"/>
        </w:rPr>
        <w:t>Priorytet ten zakłada wsparcie finansowe kształcenia ustawicznego pracowników zatrudnionych nie dłużej niż 6 miesięcy od daty zawarcia umowy.</w:t>
      </w:r>
    </w:p>
    <w:p w14:paraId="4D290695" w14:textId="77777777" w:rsidR="009B72BB" w:rsidRDefault="009B72BB" w:rsidP="00E52281">
      <w:pPr>
        <w:jc w:val="both"/>
        <w:rPr>
          <w:rFonts w:ascii="Arial" w:hAnsi="Arial" w:cs="Arial"/>
          <w:color w:val="0A0A0A"/>
          <w:sz w:val="20"/>
          <w:szCs w:val="20"/>
        </w:rPr>
      </w:pPr>
    </w:p>
    <w:p w14:paraId="1D5E2B98" w14:textId="3E57E640" w:rsidR="008345FD" w:rsidRDefault="00B51E80" w:rsidP="00E52281">
      <w:pPr>
        <w:jc w:val="both"/>
        <w:rPr>
          <w:rFonts w:ascii="Arial" w:hAnsi="Arial" w:cs="Arial"/>
          <w:color w:val="0A0A0A"/>
          <w:sz w:val="20"/>
          <w:szCs w:val="20"/>
        </w:rPr>
      </w:pPr>
      <w:r w:rsidRPr="00844459">
        <w:rPr>
          <w:rFonts w:ascii="Arial" w:hAnsi="Arial" w:cs="Arial"/>
          <w:color w:val="0A0A0A"/>
          <w:sz w:val="20"/>
          <w:szCs w:val="20"/>
        </w:rPr>
        <w:t xml:space="preserve">Celem działania jest ułatwienie nowozatrudnionym osobom efektywnej adaptacji do nowego środowiska pracy, podniesieniu kompetencji zawodowych oraz dostosowanie kwalifikacji do specyfiki wykonywanych zadań zawodowych. </w:t>
      </w:r>
    </w:p>
    <w:p w14:paraId="77323B01" w14:textId="77777777" w:rsidR="00167B7B" w:rsidRPr="00844459" w:rsidRDefault="00167B7B" w:rsidP="00E52281">
      <w:pPr>
        <w:jc w:val="both"/>
        <w:rPr>
          <w:rFonts w:ascii="Arial" w:hAnsi="Arial" w:cs="Arial"/>
          <w:color w:val="0A0A0A"/>
          <w:sz w:val="20"/>
          <w:szCs w:val="20"/>
        </w:rPr>
      </w:pPr>
    </w:p>
    <w:p w14:paraId="5F99737C" w14:textId="6150ABAB" w:rsidR="009B72BB" w:rsidRPr="00844459" w:rsidRDefault="00B51E80" w:rsidP="009B72BB">
      <w:pPr>
        <w:jc w:val="both"/>
        <w:rPr>
          <w:rFonts w:ascii="Arial" w:hAnsi="Arial" w:cs="Arial"/>
          <w:color w:val="0A0A0A"/>
          <w:sz w:val="20"/>
          <w:szCs w:val="20"/>
        </w:rPr>
      </w:pPr>
      <w:r w:rsidRPr="00844459">
        <w:rPr>
          <w:rFonts w:ascii="Arial" w:hAnsi="Arial" w:cs="Arial"/>
          <w:color w:val="0A0A0A"/>
          <w:sz w:val="20"/>
          <w:szCs w:val="20"/>
        </w:rPr>
        <w:t xml:space="preserve">Realizacja kształcenia ustawicznego w początkowym okresie zatrudnienia pozwala na szybkie uzupełnienie ewentualnych braków kompetencyjnych, podniesienie jakości wykonywanej pracy </w:t>
      </w:r>
      <w:r w:rsidR="007F4374" w:rsidRPr="00844459">
        <w:rPr>
          <w:rFonts w:ascii="Arial" w:hAnsi="Arial" w:cs="Arial"/>
          <w:color w:val="0A0A0A"/>
          <w:sz w:val="20"/>
          <w:szCs w:val="20"/>
        </w:rPr>
        <w:t>oraz zwiększenie samodzielności pracownika. Wsparcie to sprzyja również</w:t>
      </w:r>
      <w:r w:rsidR="00316332" w:rsidRPr="00844459">
        <w:rPr>
          <w:rFonts w:ascii="Arial" w:hAnsi="Arial" w:cs="Arial"/>
          <w:color w:val="0A0A0A"/>
          <w:sz w:val="20"/>
          <w:szCs w:val="20"/>
        </w:rPr>
        <w:t xml:space="preserve"> ograniczeniu rotacji kadry, zwiększeniu</w:t>
      </w:r>
      <w:r w:rsidR="0055680C" w:rsidRPr="00844459">
        <w:rPr>
          <w:rFonts w:ascii="Arial" w:hAnsi="Arial" w:cs="Arial"/>
          <w:color w:val="0A0A0A"/>
          <w:sz w:val="20"/>
          <w:szCs w:val="20"/>
        </w:rPr>
        <w:t xml:space="preserve"> stabilności zatrudnienia oraz budowaniu długofalowej współpracy pomiędzy pracodawcą </w:t>
      </w:r>
      <w:r w:rsidR="009B72BB">
        <w:rPr>
          <w:rFonts w:ascii="Arial" w:hAnsi="Arial" w:cs="Arial"/>
          <w:color w:val="0A0A0A"/>
          <w:sz w:val="20"/>
          <w:szCs w:val="20"/>
        </w:rPr>
        <w:br/>
      </w:r>
      <w:r w:rsidR="0055680C" w:rsidRPr="00844459">
        <w:rPr>
          <w:rFonts w:ascii="Arial" w:hAnsi="Arial" w:cs="Arial"/>
          <w:color w:val="0A0A0A"/>
          <w:sz w:val="20"/>
          <w:szCs w:val="20"/>
        </w:rPr>
        <w:t>a pracownikiem</w:t>
      </w:r>
      <w:r w:rsidR="009B72BB">
        <w:rPr>
          <w:rFonts w:ascii="Arial" w:hAnsi="Arial" w:cs="Arial"/>
          <w:color w:val="0A0A0A"/>
          <w:sz w:val="20"/>
          <w:szCs w:val="20"/>
        </w:rPr>
        <w:t xml:space="preserve">, a także </w:t>
      </w:r>
      <w:r w:rsidR="009B72BB" w:rsidRPr="00844459">
        <w:rPr>
          <w:rFonts w:ascii="Arial" w:hAnsi="Arial" w:cs="Arial"/>
          <w:color w:val="0A0A0A"/>
          <w:sz w:val="20"/>
          <w:szCs w:val="20"/>
        </w:rPr>
        <w:t xml:space="preserve">stanowi inwestycję w kapitał ludzki przedsiębiorstwa, przyczyniając się do wzrostu jego konkurencyjności, efektywności oraz jakości świadczonych usług. </w:t>
      </w:r>
    </w:p>
    <w:p w14:paraId="5206C1C9" w14:textId="1CF05762" w:rsidR="00B51E80" w:rsidRDefault="00B51E80" w:rsidP="00E52281">
      <w:pPr>
        <w:jc w:val="both"/>
        <w:rPr>
          <w:rFonts w:ascii="Arial" w:hAnsi="Arial" w:cs="Arial"/>
          <w:color w:val="0A0A0A"/>
          <w:sz w:val="20"/>
          <w:szCs w:val="20"/>
        </w:rPr>
      </w:pPr>
    </w:p>
    <w:p w14:paraId="27977E5E" w14:textId="77777777" w:rsidR="008345FD" w:rsidRDefault="008345FD" w:rsidP="00E52281">
      <w:pPr>
        <w:jc w:val="both"/>
        <w:rPr>
          <w:rFonts w:ascii="Arial" w:hAnsi="Arial" w:cs="Arial"/>
          <w:b/>
          <w:bCs/>
          <w:color w:val="0A0A0A"/>
          <w:sz w:val="20"/>
          <w:szCs w:val="20"/>
        </w:rPr>
      </w:pPr>
    </w:p>
    <w:p w14:paraId="60EC796C" w14:textId="77777777" w:rsidR="008345FD" w:rsidRPr="00E52281" w:rsidRDefault="008345FD" w:rsidP="00E52281">
      <w:pPr>
        <w:jc w:val="both"/>
        <w:rPr>
          <w:rFonts w:ascii="Arial" w:hAnsi="Arial" w:cs="Arial"/>
          <w:b/>
          <w:bCs/>
          <w:color w:val="0A0A0A"/>
          <w:sz w:val="20"/>
          <w:szCs w:val="20"/>
        </w:rPr>
      </w:pPr>
    </w:p>
    <w:p w14:paraId="047CEB81" w14:textId="0A514683" w:rsidR="00330FAD" w:rsidRPr="00E52281" w:rsidRDefault="00330FAD" w:rsidP="00E52281">
      <w:pPr>
        <w:jc w:val="both"/>
        <w:rPr>
          <w:rFonts w:ascii="Arial" w:hAnsi="Arial" w:cs="Arial"/>
          <w:sz w:val="20"/>
          <w:szCs w:val="20"/>
        </w:rPr>
      </w:pPr>
      <w:r w:rsidRPr="00E52281">
        <w:rPr>
          <w:rFonts w:ascii="Arial" w:hAnsi="Arial" w:cs="Arial"/>
          <w:sz w:val="20"/>
          <w:szCs w:val="20"/>
        </w:rPr>
        <w:t xml:space="preserve">Lubań, </w:t>
      </w:r>
      <w:r w:rsidR="0081217F">
        <w:rPr>
          <w:rFonts w:ascii="Arial" w:hAnsi="Arial" w:cs="Arial"/>
          <w:sz w:val="20"/>
          <w:szCs w:val="20"/>
        </w:rPr>
        <w:t>1</w:t>
      </w:r>
      <w:r w:rsidR="006720CE">
        <w:rPr>
          <w:rFonts w:ascii="Arial" w:hAnsi="Arial" w:cs="Arial"/>
          <w:sz w:val="20"/>
          <w:szCs w:val="20"/>
        </w:rPr>
        <w:t>7</w:t>
      </w:r>
      <w:r w:rsidR="0081217F">
        <w:rPr>
          <w:rFonts w:ascii="Arial" w:hAnsi="Arial" w:cs="Arial"/>
          <w:sz w:val="20"/>
          <w:szCs w:val="20"/>
        </w:rPr>
        <w:t>.04</w:t>
      </w:r>
      <w:r w:rsidRPr="00E52281">
        <w:rPr>
          <w:rFonts w:ascii="Arial" w:hAnsi="Arial" w:cs="Arial"/>
          <w:sz w:val="20"/>
          <w:szCs w:val="20"/>
        </w:rPr>
        <w:t>.202</w:t>
      </w:r>
      <w:r w:rsidR="0070117A">
        <w:rPr>
          <w:rFonts w:ascii="Arial" w:hAnsi="Arial" w:cs="Arial"/>
          <w:sz w:val="20"/>
          <w:szCs w:val="20"/>
        </w:rPr>
        <w:t>6</w:t>
      </w:r>
      <w:r w:rsidRPr="00E52281">
        <w:rPr>
          <w:rFonts w:ascii="Arial" w:hAnsi="Arial" w:cs="Arial"/>
          <w:sz w:val="20"/>
          <w:szCs w:val="20"/>
        </w:rPr>
        <w:t xml:space="preserve"> r.</w:t>
      </w:r>
    </w:p>
    <w:p w14:paraId="476359A1" w14:textId="77777777" w:rsidR="00330FAD" w:rsidRPr="00E52281" w:rsidRDefault="00330FAD" w:rsidP="00E52281">
      <w:pPr>
        <w:jc w:val="both"/>
        <w:rPr>
          <w:rFonts w:ascii="Arial" w:hAnsi="Arial" w:cs="Arial"/>
          <w:sz w:val="20"/>
          <w:szCs w:val="20"/>
        </w:rPr>
      </w:pPr>
    </w:p>
    <w:p w14:paraId="03DB4864" w14:textId="77777777" w:rsidR="00BE2178" w:rsidRPr="00E52281" w:rsidRDefault="00BE2178" w:rsidP="00E52281">
      <w:pPr>
        <w:jc w:val="both"/>
        <w:rPr>
          <w:rFonts w:ascii="Arial" w:hAnsi="Arial" w:cs="Arial"/>
          <w:sz w:val="20"/>
          <w:szCs w:val="20"/>
        </w:rPr>
      </w:pPr>
    </w:p>
    <w:sectPr w:rsidR="00BE2178" w:rsidRPr="00E52281" w:rsidSect="00D9615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04B0"/>
    <w:multiLevelType w:val="hybridMultilevel"/>
    <w:tmpl w:val="173CB0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861E2"/>
    <w:multiLevelType w:val="hybridMultilevel"/>
    <w:tmpl w:val="625861A2"/>
    <w:lvl w:ilvl="0" w:tplc="B7EC5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A0288"/>
    <w:multiLevelType w:val="hybridMultilevel"/>
    <w:tmpl w:val="721071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26E8A"/>
    <w:multiLevelType w:val="hybridMultilevel"/>
    <w:tmpl w:val="2F842038"/>
    <w:lvl w:ilvl="0" w:tplc="8432EEFA">
      <w:start w:val="1"/>
      <w:numFmt w:val="upperRoman"/>
      <w:lvlText w:val="%1."/>
      <w:lvlJc w:val="right"/>
      <w:pPr>
        <w:ind w:left="720" w:hanging="360"/>
      </w:pPr>
      <w:rPr>
        <w:b/>
        <w:bCs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F48A6"/>
    <w:multiLevelType w:val="hybridMultilevel"/>
    <w:tmpl w:val="756C40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14D6E"/>
    <w:multiLevelType w:val="hybridMultilevel"/>
    <w:tmpl w:val="7BB41D96"/>
    <w:lvl w:ilvl="0" w:tplc="5646146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F5045"/>
    <w:multiLevelType w:val="hybridMultilevel"/>
    <w:tmpl w:val="5E96F8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84076"/>
    <w:multiLevelType w:val="hybridMultilevel"/>
    <w:tmpl w:val="484E5126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D073A"/>
    <w:multiLevelType w:val="hybridMultilevel"/>
    <w:tmpl w:val="5F661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465A2"/>
    <w:multiLevelType w:val="hybridMultilevel"/>
    <w:tmpl w:val="D2D496EE"/>
    <w:lvl w:ilvl="0" w:tplc="B7EC5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992496">
    <w:abstractNumId w:val="5"/>
  </w:num>
  <w:num w:numId="2" w16cid:durableId="96877855">
    <w:abstractNumId w:val="1"/>
  </w:num>
  <w:num w:numId="3" w16cid:durableId="663513381">
    <w:abstractNumId w:val="7"/>
  </w:num>
  <w:num w:numId="4" w16cid:durableId="33819668">
    <w:abstractNumId w:val="0"/>
  </w:num>
  <w:num w:numId="5" w16cid:durableId="567570491">
    <w:abstractNumId w:val="6"/>
  </w:num>
  <w:num w:numId="6" w16cid:durableId="348070701">
    <w:abstractNumId w:val="2"/>
  </w:num>
  <w:num w:numId="7" w16cid:durableId="1737774003">
    <w:abstractNumId w:val="4"/>
  </w:num>
  <w:num w:numId="8" w16cid:durableId="1031807412">
    <w:abstractNumId w:val="8"/>
  </w:num>
  <w:num w:numId="9" w16cid:durableId="572662877">
    <w:abstractNumId w:val="3"/>
  </w:num>
  <w:num w:numId="10" w16cid:durableId="17459487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AD"/>
    <w:rsid w:val="000013C6"/>
    <w:rsid w:val="00007806"/>
    <w:rsid w:val="0000792D"/>
    <w:rsid w:val="00046A92"/>
    <w:rsid w:val="000F43E8"/>
    <w:rsid w:val="00142B9D"/>
    <w:rsid w:val="00167B7B"/>
    <w:rsid w:val="00171A4D"/>
    <w:rsid w:val="001C2313"/>
    <w:rsid w:val="001E6F25"/>
    <w:rsid w:val="00230105"/>
    <w:rsid w:val="00245A3F"/>
    <w:rsid w:val="00296C07"/>
    <w:rsid w:val="002F58B4"/>
    <w:rsid w:val="003063B9"/>
    <w:rsid w:val="00316332"/>
    <w:rsid w:val="00330FAD"/>
    <w:rsid w:val="003406D6"/>
    <w:rsid w:val="003839CC"/>
    <w:rsid w:val="003B5B75"/>
    <w:rsid w:val="003C0880"/>
    <w:rsid w:val="0055680C"/>
    <w:rsid w:val="00582B46"/>
    <w:rsid w:val="005914D5"/>
    <w:rsid w:val="005E3F77"/>
    <w:rsid w:val="005F2BF5"/>
    <w:rsid w:val="0060570E"/>
    <w:rsid w:val="006720CE"/>
    <w:rsid w:val="0070117A"/>
    <w:rsid w:val="0074744E"/>
    <w:rsid w:val="007C6E26"/>
    <w:rsid w:val="007F4374"/>
    <w:rsid w:val="0080122A"/>
    <w:rsid w:val="0081217F"/>
    <w:rsid w:val="008345FD"/>
    <w:rsid w:val="00844459"/>
    <w:rsid w:val="008B72FD"/>
    <w:rsid w:val="008C38C1"/>
    <w:rsid w:val="008F4E83"/>
    <w:rsid w:val="009357BB"/>
    <w:rsid w:val="00943E34"/>
    <w:rsid w:val="009B72BB"/>
    <w:rsid w:val="00A217EF"/>
    <w:rsid w:val="00A34359"/>
    <w:rsid w:val="00A45B5F"/>
    <w:rsid w:val="00A5215A"/>
    <w:rsid w:val="00A65A46"/>
    <w:rsid w:val="00A741A0"/>
    <w:rsid w:val="00B21D2F"/>
    <w:rsid w:val="00B51E80"/>
    <w:rsid w:val="00BE2178"/>
    <w:rsid w:val="00C90674"/>
    <w:rsid w:val="00D01B1E"/>
    <w:rsid w:val="00D154C3"/>
    <w:rsid w:val="00D70DAF"/>
    <w:rsid w:val="00D86927"/>
    <w:rsid w:val="00D95F09"/>
    <w:rsid w:val="00D9615F"/>
    <w:rsid w:val="00DE2283"/>
    <w:rsid w:val="00E52281"/>
    <w:rsid w:val="00EC62BF"/>
    <w:rsid w:val="00ED0A44"/>
    <w:rsid w:val="00F400D1"/>
    <w:rsid w:val="00F554E4"/>
    <w:rsid w:val="00F927EC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AB81"/>
  <w15:chartTrackingRefBased/>
  <w15:docId w15:val="{559A1F3F-E520-487A-BFE0-C69FAC53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0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0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0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0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F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F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F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F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0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0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0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0F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F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0F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0F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0F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0F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0F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0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0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0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0FA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30F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0F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0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0F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0FA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30FA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30F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35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927EC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F2BF5"/>
    <w:rPr>
      <w:rFonts w:ascii="Times New Roman" w:eastAsia="Lucida Sans Unicode" w:hAnsi="Times New Roman" w:cs="Times New Roman"/>
      <w:kern w:val="1"/>
      <w:lang w:eastAsia="ar-SA"/>
      <w14:ligatures w14:val="none"/>
    </w:rPr>
  </w:style>
  <w:style w:type="table" w:styleId="Tabela-Siatka">
    <w:name w:val="Table Grid"/>
    <w:basedOn w:val="Standardowy"/>
    <w:uiPriority w:val="39"/>
    <w:rsid w:val="005F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wiatluban.pl/spluban,a,22986,strategia-rozwoju-powiatu-lubanskiego-do-roku-203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owiatluban.pl/spluban,a,22986,strategia-rozwoju-powiatu-lubanskiego-do-roku-203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jps.mpips.gov.pl/RJPS/RU/start.do?id_menu=59" TargetMode="External"/><Relationship Id="rId5" Type="http://schemas.openxmlformats.org/officeDocument/2006/relationships/hyperlink" Target="https://barometrzawodow.pl//forecast-card-zip/2026/poster_pl/BAROMETR_ZAWODOW_wojewodztwo_dolnoslaskie_powiat_lubanski_2026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2136</Words>
  <Characters>12822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Małecka</dc:creator>
  <cp:keywords/>
  <dc:description/>
  <cp:lastModifiedBy>Dorota Małecka</cp:lastModifiedBy>
  <cp:revision>4</cp:revision>
  <cp:lastPrinted>2026-02-25T09:17:00Z</cp:lastPrinted>
  <dcterms:created xsi:type="dcterms:W3CDTF">2026-04-14T06:48:00Z</dcterms:created>
  <dcterms:modified xsi:type="dcterms:W3CDTF">2026-04-16T07:49:00Z</dcterms:modified>
</cp:coreProperties>
</file>